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0314" w:type="dxa"/>
        <w:tblLayout w:type="fixed"/>
        <w:tblLook w:val="01E0"/>
      </w:tblPr>
      <w:tblGrid>
        <w:gridCol w:w="2494"/>
        <w:gridCol w:w="1133"/>
        <w:gridCol w:w="3400"/>
        <w:gridCol w:w="1587"/>
        <w:gridCol w:w="1700"/>
      </w:tblGrid>
      <w:tr w:rsidR="00B6047A" w:rsidRPr="00B6047A" w:rsidTr="00CB6C82">
        <w:trPr>
          <w:trHeight w:val="322"/>
        </w:trPr>
        <w:tc>
          <w:tcPr>
            <w:tcW w:w="10314" w:type="dxa"/>
            <w:gridSpan w:val="5"/>
            <w:vMerge w:val="restart"/>
            <w:tcMar>
              <w:top w:w="0" w:type="dxa"/>
              <w:left w:w="0" w:type="dxa"/>
              <w:bottom w:w="0" w:type="dxa"/>
              <w:right w:w="0" w:type="dxa"/>
            </w:tcMar>
            <w:vAlign w:val="bottom"/>
          </w:tcPr>
          <w:p w:rsidR="00B6047A" w:rsidRPr="00B6047A" w:rsidRDefault="00B6047A" w:rsidP="00B6047A">
            <w:pPr>
              <w:spacing w:after="0" w:line="240" w:lineRule="auto"/>
              <w:jc w:val="center"/>
              <w:rPr>
                <w:rFonts w:ascii="Times New Roman" w:eastAsia="Times New Roman" w:hAnsi="Times New Roman" w:cs="Times New Roman"/>
                <w:b/>
                <w:bCs/>
                <w:color w:val="000000"/>
                <w:sz w:val="28"/>
                <w:szCs w:val="28"/>
              </w:rPr>
            </w:pPr>
            <w:bookmarkStart w:id="0" w:name="__bookmark_1"/>
            <w:bookmarkEnd w:id="0"/>
            <w:r w:rsidRPr="00B6047A">
              <w:rPr>
                <w:rFonts w:ascii="Times New Roman" w:eastAsia="Times New Roman" w:hAnsi="Times New Roman" w:cs="Times New Roman"/>
                <w:b/>
                <w:bCs/>
                <w:color w:val="000000"/>
                <w:sz w:val="28"/>
                <w:szCs w:val="28"/>
              </w:rPr>
              <w:t>ПОЯСНИТЕЛЬНАЯ ЗАПИСКА</w:t>
            </w:r>
          </w:p>
        </w:tc>
      </w:tr>
      <w:tr w:rsidR="00B6047A" w:rsidRPr="00B6047A" w:rsidTr="00CB6C82">
        <w:trPr>
          <w:trHeight w:val="322"/>
        </w:trPr>
        <w:tc>
          <w:tcPr>
            <w:tcW w:w="10314" w:type="dxa"/>
            <w:gridSpan w:val="5"/>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r>
      <w:tr w:rsidR="00B6047A" w:rsidRPr="00B6047A" w:rsidTr="00CB6C82">
        <w:tc>
          <w:tcPr>
            <w:tcW w:w="8614" w:type="dxa"/>
            <w:gridSpan w:val="4"/>
            <w:vMerge w:val="restart"/>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B6047A" w:rsidRPr="00B6047A" w:rsidRDefault="00B6047A" w:rsidP="00B6047A">
            <w:pPr>
              <w:spacing w:after="0" w:line="240" w:lineRule="auto"/>
              <w:jc w:val="center"/>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КОДЫ</w:t>
            </w:r>
          </w:p>
        </w:tc>
      </w:tr>
      <w:tr w:rsidR="00B6047A" w:rsidRPr="00B6047A" w:rsidTr="00CB6C82">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587" w:type="dxa"/>
            <w:tcMar>
              <w:top w:w="0" w:type="dxa"/>
              <w:left w:w="0" w:type="dxa"/>
              <w:bottom w:w="0" w:type="dxa"/>
              <w:right w:w="0" w:type="dxa"/>
            </w:tcMar>
            <w:vAlign w:val="bottom"/>
          </w:tcPr>
          <w:p w:rsidR="00B6047A" w:rsidRPr="00B6047A" w:rsidRDefault="00B6047A" w:rsidP="00B6047A">
            <w:pPr>
              <w:spacing w:after="0" w:line="240" w:lineRule="auto"/>
              <w:jc w:val="right"/>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240" w:lineRule="auto"/>
              <w:jc w:val="center"/>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0503160</w:t>
            </w:r>
          </w:p>
        </w:tc>
      </w:tr>
      <w:tr w:rsidR="00B6047A" w:rsidRPr="00B6047A" w:rsidTr="00CB6C82">
        <w:tc>
          <w:tcPr>
            <w:tcW w:w="2494" w:type="dxa"/>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tblPr>
            <w:tblGrid>
              <w:gridCol w:w="4533"/>
            </w:tblGrid>
            <w:tr w:rsidR="00B6047A" w:rsidRPr="00B6047A" w:rsidTr="00CB6C82">
              <w:trPr>
                <w:jc w:val="center"/>
              </w:trPr>
              <w:tc>
                <w:tcPr>
                  <w:tcW w:w="4533"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на 1 января 2024 г.</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1587" w:type="dxa"/>
            <w:tcMar>
              <w:top w:w="0" w:type="dxa"/>
              <w:left w:w="0" w:type="dxa"/>
              <w:bottom w:w="0" w:type="dxa"/>
              <w:right w:w="0" w:type="dxa"/>
            </w:tcMar>
            <w:vAlign w:val="bottom"/>
          </w:tcPr>
          <w:p w:rsidR="00B6047A" w:rsidRPr="00B6047A" w:rsidRDefault="00B6047A" w:rsidP="00B6047A">
            <w:pPr>
              <w:spacing w:after="0" w:line="240" w:lineRule="auto"/>
              <w:jc w:val="right"/>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240" w:lineRule="auto"/>
              <w:jc w:val="center"/>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01.01.2024</w:t>
            </w:r>
          </w:p>
        </w:tc>
      </w:tr>
      <w:tr w:rsidR="00B6047A" w:rsidRPr="00B6047A" w:rsidTr="00CB6C82">
        <w:trPr>
          <w:trHeight w:val="226"/>
        </w:trPr>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tblPr>
            <w:tblGrid>
              <w:gridCol w:w="1700"/>
            </w:tblGrid>
            <w:tr w:rsidR="00B6047A" w:rsidRPr="00B6047A" w:rsidTr="00CB6C82">
              <w:trPr>
                <w:jc w:val="center"/>
              </w:trPr>
              <w:tc>
                <w:tcPr>
                  <w:tcW w:w="1700"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ГРБС</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226"/>
        </w:trPr>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226"/>
        </w:trPr>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администратор доходов бюджета,</w:t>
            </w:r>
          </w:p>
        </w:tc>
        <w:tc>
          <w:tcPr>
            <w:tcW w:w="1587" w:type="dxa"/>
            <w:tcMar>
              <w:top w:w="0" w:type="dxa"/>
              <w:left w:w="0" w:type="dxa"/>
              <w:bottom w:w="0" w:type="dxa"/>
              <w:right w:w="0" w:type="dxa"/>
            </w:tcMar>
            <w:vAlign w:val="bottom"/>
          </w:tcPr>
          <w:p w:rsidR="00B6047A" w:rsidRPr="00B6047A" w:rsidRDefault="00B6047A" w:rsidP="00B6047A">
            <w:pPr>
              <w:spacing w:after="0" w:line="240" w:lineRule="auto"/>
              <w:jc w:val="right"/>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240" w:lineRule="auto"/>
              <w:jc w:val="center"/>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76767787</w:t>
            </w:r>
          </w:p>
        </w:tc>
      </w:tr>
      <w:tr w:rsidR="00B6047A" w:rsidRPr="00B6047A" w:rsidTr="00CB6C82">
        <w:trPr>
          <w:trHeight w:val="226"/>
        </w:trPr>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r>
      <w:tr w:rsidR="00B6047A" w:rsidRPr="00B6047A" w:rsidTr="00CB6C82">
        <w:trPr>
          <w:trHeight w:val="226"/>
        </w:trPr>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источников финансирования</w:t>
            </w:r>
          </w:p>
        </w:tc>
        <w:tc>
          <w:tcPr>
            <w:tcW w:w="1587" w:type="dxa"/>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r>
      <w:tr w:rsidR="00B6047A" w:rsidRPr="00B6047A" w:rsidTr="00CB6C82">
        <w:trPr>
          <w:trHeight w:val="680"/>
        </w:trPr>
        <w:tc>
          <w:tcPr>
            <w:tcW w:w="3627" w:type="dxa"/>
            <w:gridSpan w:val="2"/>
            <w:vMerge w:val="restart"/>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дефицита бюджета</w:t>
            </w:r>
          </w:p>
        </w:tc>
        <w:tc>
          <w:tcPr>
            <w:tcW w:w="3400" w:type="dxa"/>
            <w:vMerge w:val="restart"/>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u w:val="single"/>
              </w:rPr>
            </w:pPr>
            <w:r w:rsidRPr="00B6047A">
              <w:rPr>
                <w:rFonts w:ascii="Times New Roman" w:eastAsia="Times New Roman" w:hAnsi="Times New Roman" w:cs="Times New Roman"/>
                <w:color w:val="000000"/>
                <w:sz w:val="28"/>
                <w:szCs w:val="28"/>
                <w:u w:val="single"/>
              </w:rPr>
              <w:t>КОНТРОЛЬНО-СЧЕТНАЯ КОМИССИЯ ЧАГОДОЩЕНСКОГО МУНИЦИПАЛЬНОГО ОКРУГА ВОЛОГОДСКОЙ ОБЛАСТИ</w:t>
            </w:r>
          </w:p>
        </w:tc>
        <w:tc>
          <w:tcPr>
            <w:tcW w:w="1587" w:type="dxa"/>
            <w:tcMar>
              <w:top w:w="0" w:type="dxa"/>
              <w:left w:w="0" w:type="dxa"/>
              <w:bottom w:w="0" w:type="dxa"/>
              <w:right w:w="0" w:type="dxa"/>
            </w:tcMar>
            <w:vAlign w:val="bottom"/>
          </w:tcPr>
          <w:p w:rsidR="00B6047A" w:rsidRPr="00B6047A" w:rsidRDefault="00B6047A" w:rsidP="00B6047A">
            <w:pPr>
              <w:spacing w:after="0" w:line="240" w:lineRule="auto"/>
              <w:jc w:val="right"/>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240" w:lineRule="auto"/>
              <w:jc w:val="center"/>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291</w:t>
            </w:r>
          </w:p>
        </w:tc>
      </w:tr>
      <w:tr w:rsidR="00B6047A" w:rsidRPr="00B6047A" w:rsidTr="00CB6C82">
        <w:trPr>
          <w:trHeight w:val="226"/>
        </w:trPr>
        <w:tc>
          <w:tcPr>
            <w:tcW w:w="3627" w:type="dxa"/>
            <w:gridSpan w:val="2"/>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u w:val="single"/>
              </w:rPr>
            </w:pPr>
            <w:r w:rsidRPr="00B6047A">
              <w:rPr>
                <w:rFonts w:ascii="Times New Roman" w:eastAsia="Times New Roman" w:hAnsi="Times New Roman" w:cs="Times New Roman"/>
                <w:color w:val="000000"/>
                <w:sz w:val="28"/>
                <w:szCs w:val="28"/>
                <w:u w:val="single"/>
              </w:rPr>
              <w:t>Чагодощенский муниципальный округ Вологодской области</w:t>
            </w:r>
          </w:p>
        </w:tc>
        <w:tc>
          <w:tcPr>
            <w:tcW w:w="1587" w:type="dxa"/>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r>
      <w:tr w:rsidR="00B6047A" w:rsidRPr="00B6047A" w:rsidTr="00CB6C82">
        <w:tc>
          <w:tcPr>
            <w:tcW w:w="3627" w:type="dxa"/>
            <w:gridSpan w:val="2"/>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587" w:type="dxa"/>
            <w:tcMar>
              <w:top w:w="0" w:type="dxa"/>
              <w:left w:w="0" w:type="dxa"/>
              <w:bottom w:w="0" w:type="dxa"/>
              <w:right w:w="0" w:type="dxa"/>
            </w:tcMar>
            <w:vAlign w:val="bottom"/>
          </w:tcPr>
          <w:p w:rsidR="00B6047A" w:rsidRPr="00B6047A" w:rsidRDefault="00B6047A" w:rsidP="00B6047A">
            <w:pPr>
              <w:spacing w:after="0" w:line="240" w:lineRule="auto"/>
              <w:jc w:val="right"/>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tblPr>
            <w:tblGrid>
              <w:gridCol w:w="1700"/>
            </w:tblGrid>
            <w:tr w:rsidR="00B6047A" w:rsidRPr="00B6047A" w:rsidTr="00CB6C82">
              <w:trPr>
                <w:jc w:val="center"/>
              </w:trPr>
              <w:tc>
                <w:tcPr>
                  <w:tcW w:w="1700"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19554000</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hidden/>
        </w:trPr>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vanish/>
                <w:sz w:val="20"/>
                <w:szCs w:val="20"/>
              </w:rPr>
            </w:pPr>
          </w:p>
          <w:tbl>
            <w:tblPr>
              <w:tblOverlap w:val="never"/>
              <w:tblW w:w="7027" w:type="dxa"/>
              <w:tblLayout w:type="fixed"/>
              <w:tblCellMar>
                <w:left w:w="0" w:type="dxa"/>
                <w:right w:w="0" w:type="dxa"/>
              </w:tblCellMar>
              <w:tblLook w:val="01E0"/>
            </w:tblPr>
            <w:tblGrid>
              <w:gridCol w:w="7027"/>
            </w:tblGrid>
            <w:tr w:rsidR="00B6047A" w:rsidRPr="00B6047A" w:rsidTr="00CB6C82">
              <w:tc>
                <w:tcPr>
                  <w:tcW w:w="7027"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Периодичность: месячная, квартальная, годовая</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1587" w:type="dxa"/>
            <w:tcMar>
              <w:top w:w="0" w:type="dxa"/>
              <w:left w:w="0" w:type="dxa"/>
              <w:bottom w:w="0" w:type="dxa"/>
              <w:right w:w="0" w:type="dxa"/>
            </w:tcMar>
            <w:vAlign w:val="bottom"/>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r>
      <w:tr w:rsidR="00B6047A" w:rsidRPr="00B6047A" w:rsidTr="00CB6C82">
        <w:trPr>
          <w:hidden/>
        </w:trPr>
        <w:tc>
          <w:tcPr>
            <w:tcW w:w="7027" w:type="dxa"/>
            <w:gridSpan w:val="3"/>
            <w:vMerge w:val="restart"/>
            <w:tcMar>
              <w:top w:w="0" w:type="dxa"/>
              <w:left w:w="0" w:type="dxa"/>
              <w:bottom w:w="0" w:type="dxa"/>
              <w:right w:w="0" w:type="dxa"/>
            </w:tcMar>
            <w:vAlign w:val="bottom"/>
          </w:tcPr>
          <w:p w:rsidR="00B6047A" w:rsidRPr="00B6047A" w:rsidRDefault="00B6047A" w:rsidP="00B6047A">
            <w:pPr>
              <w:spacing w:after="0" w:line="240" w:lineRule="auto"/>
              <w:rPr>
                <w:rFonts w:ascii="Times New Roman" w:eastAsia="Times New Roman" w:hAnsi="Times New Roman" w:cs="Times New Roman"/>
                <w:vanish/>
                <w:sz w:val="20"/>
                <w:szCs w:val="20"/>
              </w:rPr>
            </w:pPr>
          </w:p>
          <w:tbl>
            <w:tblPr>
              <w:tblOverlap w:val="never"/>
              <w:tblW w:w="7027" w:type="dxa"/>
              <w:tblLayout w:type="fixed"/>
              <w:tblCellMar>
                <w:left w:w="0" w:type="dxa"/>
                <w:right w:w="0" w:type="dxa"/>
              </w:tblCellMar>
              <w:tblLook w:val="01E0"/>
            </w:tblPr>
            <w:tblGrid>
              <w:gridCol w:w="7027"/>
            </w:tblGrid>
            <w:tr w:rsidR="00B6047A" w:rsidRPr="00B6047A" w:rsidTr="00CB6C82">
              <w:tc>
                <w:tcPr>
                  <w:tcW w:w="7027"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Единица измерения: руб.</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1587" w:type="dxa"/>
            <w:tcMar>
              <w:top w:w="0" w:type="dxa"/>
              <w:left w:w="0" w:type="dxa"/>
              <w:bottom w:w="0" w:type="dxa"/>
              <w:right w:w="0" w:type="dxa"/>
            </w:tcMar>
            <w:vAlign w:val="bottom"/>
          </w:tcPr>
          <w:p w:rsidR="00B6047A" w:rsidRPr="00B6047A" w:rsidRDefault="00B6047A" w:rsidP="00B6047A">
            <w:pPr>
              <w:spacing w:after="0" w:line="240" w:lineRule="auto"/>
              <w:jc w:val="right"/>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B6047A" w:rsidRPr="00B6047A" w:rsidRDefault="00B6047A" w:rsidP="00B6047A">
            <w:pPr>
              <w:spacing w:after="0" w:line="240" w:lineRule="auto"/>
              <w:jc w:val="center"/>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383</w:t>
            </w:r>
          </w:p>
        </w:tc>
      </w:tr>
    </w:tbl>
    <w:p w:rsidR="00B6047A" w:rsidRPr="00B6047A" w:rsidRDefault="00B6047A" w:rsidP="00B6047A">
      <w:pPr>
        <w:spacing w:after="0" w:line="240" w:lineRule="auto"/>
        <w:rPr>
          <w:rFonts w:ascii="Times New Roman" w:eastAsia="Times New Roman" w:hAnsi="Times New Roman" w:cs="Times New Roman"/>
          <w:vanish/>
          <w:sz w:val="20"/>
          <w:szCs w:val="20"/>
        </w:rPr>
      </w:pPr>
      <w:bookmarkStart w:id="1" w:name="__bookmark_3"/>
      <w:bookmarkEnd w:id="1"/>
    </w:p>
    <w:tbl>
      <w:tblPr>
        <w:tblOverlap w:val="never"/>
        <w:tblW w:w="10314" w:type="dxa"/>
        <w:tblLayout w:type="fixed"/>
        <w:tblLook w:val="01E0"/>
      </w:tblPr>
      <w:tblGrid>
        <w:gridCol w:w="2494"/>
        <w:gridCol w:w="1133"/>
        <w:gridCol w:w="566"/>
        <w:gridCol w:w="2834"/>
        <w:gridCol w:w="1587"/>
        <w:gridCol w:w="1700"/>
      </w:tblGrid>
      <w:tr w:rsidR="00B6047A" w:rsidRPr="00B6047A" w:rsidTr="00CB6C82">
        <w:tc>
          <w:tcPr>
            <w:tcW w:w="2494"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1133" w:type="dxa"/>
            <w:tcMar>
              <w:top w:w="0" w:type="dxa"/>
              <w:left w:w="0" w:type="dxa"/>
              <w:bottom w:w="0" w:type="dxa"/>
              <w:right w:w="0" w:type="dxa"/>
            </w:tcMar>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c>
          <w:tcPr>
            <w:tcW w:w="2834" w:type="dxa"/>
            <w:tcMar>
              <w:top w:w="0" w:type="dxa"/>
              <w:left w:w="0" w:type="dxa"/>
              <w:bottom w:w="0" w:type="dxa"/>
              <w:right w:w="0" w:type="dxa"/>
            </w:tcMar>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c>
          <w:tcPr>
            <w:tcW w:w="1587" w:type="dxa"/>
            <w:tcMar>
              <w:top w:w="0" w:type="dxa"/>
              <w:left w:w="0" w:type="dxa"/>
              <w:bottom w:w="0" w:type="dxa"/>
              <w:right w:w="0" w:type="dxa"/>
            </w:tcMar>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r>
      <w:tr w:rsidR="00B6047A" w:rsidRPr="00B6047A" w:rsidTr="00CB6C82">
        <w:trPr>
          <w:trHeight w:val="322"/>
        </w:trPr>
        <w:tc>
          <w:tcPr>
            <w:tcW w:w="10314" w:type="dxa"/>
            <w:gridSpan w:val="6"/>
            <w:vMerge w:val="restart"/>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b/>
                <w:bCs/>
                <w:color w:val="000000"/>
                <w:sz w:val="28"/>
                <w:szCs w:val="28"/>
              </w:rPr>
            </w:pPr>
            <w:r w:rsidRPr="00B6047A">
              <w:rPr>
                <w:rFonts w:ascii="Times New Roman" w:eastAsia="Times New Roman" w:hAnsi="Times New Roman" w:cs="Times New Roman"/>
                <w:b/>
                <w:bCs/>
                <w:color w:val="000000"/>
                <w:sz w:val="28"/>
                <w:szCs w:val="28"/>
              </w:rPr>
              <w:t>Раздел 1 "Организационная структура субъекта бюджетной отчетности"</w:t>
            </w:r>
          </w:p>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bl>
            <w:tblPr>
              <w:tblOverlap w:val="never"/>
              <w:tblW w:w="10314" w:type="dxa"/>
              <w:tblLayout w:type="fixed"/>
              <w:tblCellMar>
                <w:left w:w="0" w:type="dxa"/>
                <w:right w:w="0" w:type="dxa"/>
              </w:tblCellMar>
              <w:tblLook w:val="01E0"/>
            </w:tblPr>
            <w:tblGrid>
              <w:gridCol w:w="10314"/>
            </w:tblGrid>
            <w:tr w:rsidR="00B6047A" w:rsidRPr="00B6047A" w:rsidTr="00CB6C82">
              <w:tc>
                <w:tcPr>
                  <w:tcW w:w="10314" w:type="dxa"/>
                  <w:tcMar>
                    <w:top w:w="0" w:type="dxa"/>
                    <w:left w:w="0" w:type="dxa"/>
                    <w:bottom w:w="0" w:type="dxa"/>
                    <w:right w:w="400" w:type="dxa"/>
                  </w:tcMar>
                </w:tcPr>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Субъектом бюджетной отчетности является контрольно-счетная комиссия Чагодощенского муниципального округа Вологодской области. В Соответствии с Федеральным законом от 06.10.2003 № 131-ФЗ " Об общих принципах организации местного самоуправления в Российской Федерации", решением Представительного Собрания Чагодощенского муниципального округа от 27.10.2022 №29 " О создании контрольно-счетной комиссии Чагодощенского муниципального округа"   создан орган местного самоуправления Чагодощенского муниципального округа Вологодской области в форме муниципального казенного учреждения. Возглавляет контрольно- счетную комиссию председатель - Васильева Наталья Вадимовна.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Сокращенное наименование- контрольно- счетная комиссия Чагодощенского муниципального округа.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Юридический адрес :162400, Вологодская область, Чагодощенский район, поселок  Чагода, улица Стекольщиков, дом 3.</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ИНН-3522004860; КПП-352201001;  ОКПО-76767787,  ОКТМО-19554000, ОГРН-</w:t>
                  </w:r>
                  <w:r w:rsidRPr="00B6047A">
                    <w:rPr>
                      <w:rFonts w:ascii="Times New Roman" w:eastAsia="Times New Roman" w:hAnsi="Times New Roman" w:cs="Times New Roman"/>
                      <w:color w:val="000000"/>
                      <w:sz w:val="28"/>
                      <w:szCs w:val="28"/>
                    </w:rPr>
                    <w:lastRenderedPageBreak/>
                    <w:t>1223500013550.  Организационно-правовая форма-75404 (муниципальные казенные учреждения). Код главы -291. Контрольно-счетная комиссия Чагодощенского муниципального округа действует на основании Положения о контрольно-счетной комиссии Чагодощенского муниципального округа Вологодской области утвержденного решением  Представительного Собрания Чагодощенского муниципального округа от 27.11.2023  № 29 "О создании контрольно-счетной комиссии Чагодощенского муниципального округа Вологодской области".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Контрольно-счетная комиссия Чагодощенского муниципального округа является постоянно действующим органом внешнего муниципального финансового контроля и образуется Представительным Собранием Чагодощенского муниципального округа. контрольно-счетная комиссия Чагодощенского муниципального округа подотчетна Представительному Собранию Чагодощенского муниципального округа.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Структура, полномочия, состав, штатная численность и порядок деятельности контрольно-счетной комиссии Чагодощенского муниципального округа устанавливаются решением Представительного Собрания Чагодощенского муниципального округа в соответствии с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Контрольно-счетная комиссия Чагодощенского муниципального округа осуществляет следующие основные полномочия:</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2) экспертиза проектов местного бюджета, проверка и анализ обоснованности его показателей;</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3) внешняя проверка годового отчета об исполнении местного бюджета;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w:t>
                  </w:r>
                  <w:r w:rsidRPr="00B6047A">
                    <w:rPr>
                      <w:rFonts w:ascii="Times New Roman" w:eastAsia="Times New Roman" w:hAnsi="Times New Roman" w:cs="Times New Roman"/>
                      <w:color w:val="000000"/>
                      <w:sz w:val="28"/>
                      <w:szCs w:val="28"/>
                    </w:rPr>
                    <w:lastRenderedPageBreak/>
                    <w:t>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Представительном Собрании Чагодощенского муниципального округа и Главе Чагодощенского муниципального округа;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10) осуществление контроля за состоянием муниципального внутреннего и внешнего долга;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Чагодощенского муниципального округа;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12) участие в пределах полномочий в мероприятиях, направленных на противодействие коррупции;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Представительного Собрания Чагодощенского муниципального округа.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Контрольно-счетная комиссия Чагодощенского муниципального округа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lastRenderedPageBreak/>
                    <w:t>является юридическим лицом, выполняет полномочия получателя  средств  бюджета округа (местного), имеет самостоятельный баланс.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В отделе УФК по Вологодской области  учреждению открыты лицевые счета: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-распорядительный лицевой счет (291080000);</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лицевой счет для учета операций клиента (291110011).</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Банковских счетов в кредитных организациях учреждение не имеет.  Касса для выдачи наличных денежных средств отсутствует. Все расчеты осуществляются в безналичном порядке.</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Ведение бухгалтерского учета, составление и представление бухгалтерской (финансовой) отчетности осуществляется МКУ "Центр обеспечения"  на основании Постановления  главы Чагодощенского муниципального округа № 3 от 29.11.2022 " О передаче функций по ведению бюджетного(бухгалтерского) чета и составлению отчетности"; Соглашение № 6/23 от 22.12.2022 " О передаче Муниципальному казенному учреждению "Центр обеспечения" функций по ведению бухгалтерского учета, составление бухгалтерской, налоговой отчетности, отчетности в государственные внебюджетные фонды".</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Финансовое обеспечение контрольно-счетной комиссии Чагодощенского муниципального округа   осуществляется за счет средств местного бюджета (бюджета округа) в соответствии с утвержденными бюджетными ассигнованиями в ведомственной структуре расходов бюджета Чагодощенского муниципального округа на 2023 год.</w:t>
                  </w:r>
                </w:p>
              </w:tc>
            </w:tr>
          </w:tbl>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lastRenderedPageBreak/>
              <w:t xml:space="preserve"> </w:t>
            </w:r>
          </w:p>
        </w:tc>
      </w:tr>
      <w:tr w:rsidR="00B6047A" w:rsidRPr="00B6047A" w:rsidTr="00CB6C82">
        <w:trPr>
          <w:trHeight w:val="322"/>
        </w:trPr>
        <w:tc>
          <w:tcPr>
            <w:tcW w:w="10314" w:type="dxa"/>
            <w:gridSpan w:val="6"/>
            <w:vMerge w:val="restart"/>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b/>
                <w:bCs/>
                <w:color w:val="000000"/>
                <w:sz w:val="28"/>
                <w:szCs w:val="28"/>
              </w:rPr>
            </w:pPr>
            <w:r w:rsidRPr="00B6047A">
              <w:rPr>
                <w:rFonts w:ascii="Times New Roman" w:eastAsia="Times New Roman" w:hAnsi="Times New Roman" w:cs="Times New Roman"/>
                <w:b/>
                <w:bCs/>
                <w:color w:val="000000"/>
                <w:sz w:val="28"/>
                <w:szCs w:val="28"/>
              </w:rPr>
              <w:lastRenderedPageBreak/>
              <w:t>Раздел 2 "Результаты деятельности субъекта бюджетной отчетности"</w:t>
            </w:r>
          </w:p>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bl>
            <w:tblPr>
              <w:tblOverlap w:val="never"/>
              <w:tblW w:w="10314" w:type="dxa"/>
              <w:tblLayout w:type="fixed"/>
              <w:tblCellMar>
                <w:left w:w="0" w:type="dxa"/>
                <w:right w:w="0" w:type="dxa"/>
              </w:tblCellMar>
              <w:tblLook w:val="01E0"/>
            </w:tblPr>
            <w:tblGrid>
              <w:gridCol w:w="10314"/>
            </w:tblGrid>
            <w:tr w:rsidR="00B6047A" w:rsidRPr="00B6047A" w:rsidTr="00CB6C82">
              <w:tc>
                <w:tcPr>
                  <w:tcW w:w="10314" w:type="dxa"/>
                  <w:tcMar>
                    <w:top w:w="0" w:type="dxa"/>
                    <w:left w:w="0" w:type="dxa"/>
                    <w:bottom w:w="0" w:type="dxa"/>
                    <w:right w:w="400" w:type="dxa"/>
                  </w:tcMar>
                </w:tcPr>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Показатели расходов на приобретение товаров, работ и услуг отражены в отчете (ф.0503127) на 01.01.2024.</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Имущество, находящее в оперативном управлении признано активами, характеризуется положительными техническими характеристиками, позволяет эффективно и результативно осуществлять повседневную деятельность.</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Балансовая стоимость  основных средств на конец отчетного периода составила 122603,70 рублей иное движимое имущество, их них</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машины и оборудование (оргтехника)-111549,70 рублей; производственный и хозяйственный инвентарь-11054,00 рублей.</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xml:space="preserve">Обеспеченность основными фондами  соответствует реальной потребности в них. Основная масса основных средств находится в эксплуатации, в удовлетворительном состоянии, соответствуют техническим характеристикам, </w:t>
                  </w:r>
                  <w:r w:rsidRPr="00B6047A">
                    <w:rPr>
                      <w:rFonts w:ascii="Times New Roman" w:eastAsia="Times New Roman" w:hAnsi="Times New Roman" w:cs="Times New Roman"/>
                      <w:color w:val="000000"/>
                      <w:sz w:val="28"/>
                      <w:szCs w:val="28"/>
                    </w:rPr>
                    <w:lastRenderedPageBreak/>
                    <w:t>необходимым для выполнения задач и функций, возложенных на Управление. Основные средства  используются  по целевому назначению, эксплуатируемые основные средства в  исправном, техническом состоянии. Недостачи и порчи имущества в отчетном периоде не выявлено. Объектов аренды нет. Амортизация основных средств на конец отчетного периода  составляет 122603,70 рублей (100%).  Для поддержания технического состояния эксплуатируемых  основных средств проводилось их плановое техническое обслуживание. Работники управления бережно относятся к эксплуатации  основных средств , которые необходимы для работы.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закреплены основные средства.  Материальные запасы поступают и принимаются к учету своевременно в соответствии с условиями заключенных контрактов.</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По состоянию на 01 января 2024года штатная численность 2 единицы:  в т.ч. количество штатных единиц  должностей муниципальной службы -1; ьуниципальные служащие -1 единица (по состоянию на 1 января 2024 года вакантна). Фонд оплаты труда сформирован в рамках средств бюджета Контрольно- счетной комиссии в соответствии с Положением "Об оплате  в органах местного самоуправления Чагодощенского муниципального округа".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Повышение квалификации в отчетном периоде  не осуществлялось.</w:t>
                  </w:r>
                </w:p>
              </w:tc>
            </w:tr>
          </w:tbl>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lastRenderedPageBreak/>
              <w:t xml:space="preserve"> </w:t>
            </w:r>
          </w:p>
        </w:tc>
      </w:tr>
      <w:tr w:rsidR="00B6047A" w:rsidRPr="00B6047A" w:rsidTr="00CB6C82">
        <w:trPr>
          <w:trHeight w:val="322"/>
        </w:trPr>
        <w:tc>
          <w:tcPr>
            <w:tcW w:w="10314" w:type="dxa"/>
            <w:gridSpan w:val="6"/>
            <w:vMerge w:val="restart"/>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b/>
                <w:bCs/>
                <w:color w:val="000000"/>
                <w:sz w:val="28"/>
                <w:szCs w:val="28"/>
              </w:rPr>
            </w:pPr>
            <w:r w:rsidRPr="00B6047A">
              <w:rPr>
                <w:rFonts w:ascii="Times New Roman" w:eastAsia="Times New Roman" w:hAnsi="Times New Roman" w:cs="Times New Roman"/>
                <w:b/>
                <w:bCs/>
                <w:color w:val="000000"/>
                <w:sz w:val="28"/>
                <w:szCs w:val="28"/>
              </w:rPr>
              <w:lastRenderedPageBreak/>
              <w:t>Раздел 3 "Анализ отчета об исполнении бюджета субъектом бюджетной отчетности"</w:t>
            </w:r>
          </w:p>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bl>
            <w:tblPr>
              <w:tblOverlap w:val="never"/>
              <w:tblW w:w="10314" w:type="dxa"/>
              <w:tblLayout w:type="fixed"/>
              <w:tblCellMar>
                <w:left w:w="0" w:type="dxa"/>
                <w:right w:w="0" w:type="dxa"/>
              </w:tblCellMar>
              <w:tblLook w:val="01E0"/>
            </w:tblPr>
            <w:tblGrid>
              <w:gridCol w:w="10314"/>
            </w:tblGrid>
            <w:tr w:rsidR="00B6047A" w:rsidRPr="00B6047A" w:rsidTr="00CB6C82">
              <w:tc>
                <w:tcPr>
                  <w:tcW w:w="10314" w:type="dxa"/>
                  <w:tcMar>
                    <w:top w:w="0" w:type="dxa"/>
                    <w:left w:w="0" w:type="dxa"/>
                    <w:bottom w:w="0" w:type="dxa"/>
                    <w:right w:w="400" w:type="dxa"/>
                  </w:tcMar>
                </w:tcPr>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Основные плановые характеристики в соответствии со сводной бюджетной росписью на состоянию на 01.01.2024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плановый объем доходов не  доводился, плановый  объем расходов-828600,00 рублей.</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Согласно ф.0503164 "Отчет об исполнении бюджета" исполнение за 2023 год характеризуется следующими показателями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-доходы не поступали;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расходы  исполнены на 90,03%  или 746012,54 рублей. Неисполнение  бюджетных назначений (причины отклонений от прогнозного показателя):</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1. Оплата заработной платы  будет осуществлена  в январе 2024г.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xml:space="preserve">Бюджетные и денежные обязательства приняты и исполнены в пределах </w:t>
                  </w:r>
                  <w:r w:rsidRPr="00B6047A">
                    <w:rPr>
                      <w:rFonts w:ascii="Times New Roman" w:eastAsia="Times New Roman" w:hAnsi="Times New Roman" w:cs="Times New Roman"/>
                      <w:color w:val="000000"/>
                      <w:sz w:val="28"/>
                      <w:szCs w:val="28"/>
                    </w:rPr>
                    <w:lastRenderedPageBreak/>
                    <w:t>выделенных лимитов бюджетных обязательств.</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Некассовые операции в форме 0503127 отсутствуют. Перечисление денежных средств в иностранной валюте не осуществлялось и операции в бюджетном учете не отражались.</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Показатели исполнения бюджета отражены в отчете (ф.0503127) на 01.01.2024.</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Контрольно-счетная комиссия не является участником федеральных целевых программ, национальных проектов(программ). Сведения, раскрывающие информацию о ходе реализации государственными (муниципальными) бюджетными и автономными учреждениями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за счет лимитов бюджетных обязательств на цели осуществления капитальных вложений, с указанием причин образования остатков средств целевых субсидий отсутствуют.</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Изменение показателей кассового плана в части расходов бюджета по отношению к принятому первоначально изменилось, согласно Решения № 94 от 30.11.2023 " О внесении изменений  в решение представительного Собрания " О бюджете Чагодощенского муниципального округа на 2023 год и плановый период 2024 и 2025 годов":</w:t>
                  </w:r>
                </w:p>
                <w:p w:rsidR="00B6047A" w:rsidRPr="00B6047A" w:rsidRDefault="00B6047A" w:rsidP="00B6047A">
                  <w:pPr>
                    <w:spacing w:before="190" w:after="19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291-0106-9200000200-121-211 увеличение на 17100,00 рублей.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Наличие неисполненных денежных обязательств обусловлено поступлением документов на оплату от контрагентов по окончанию отчетного периода.</w:t>
                  </w:r>
                </w:p>
              </w:tc>
            </w:tr>
          </w:tbl>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lastRenderedPageBreak/>
              <w:t xml:space="preserve"> </w:t>
            </w:r>
          </w:p>
        </w:tc>
      </w:tr>
      <w:tr w:rsidR="00B6047A" w:rsidRPr="00B6047A" w:rsidTr="00CB6C82">
        <w:trPr>
          <w:trHeight w:val="322"/>
        </w:trPr>
        <w:tc>
          <w:tcPr>
            <w:tcW w:w="10314" w:type="dxa"/>
            <w:gridSpan w:val="6"/>
            <w:vMerge w:val="restart"/>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b/>
                <w:bCs/>
                <w:color w:val="000000"/>
                <w:sz w:val="28"/>
                <w:szCs w:val="28"/>
              </w:rPr>
            </w:pPr>
            <w:r w:rsidRPr="00B6047A">
              <w:rPr>
                <w:rFonts w:ascii="Times New Roman" w:eastAsia="Times New Roman" w:hAnsi="Times New Roman" w:cs="Times New Roman"/>
                <w:b/>
                <w:bCs/>
                <w:color w:val="000000"/>
                <w:sz w:val="28"/>
                <w:szCs w:val="28"/>
              </w:rPr>
              <w:lastRenderedPageBreak/>
              <w:t>Раздел 4 "Анализ показателей бухгалтерской отчетности субъекта бюджетной отчетности"</w:t>
            </w:r>
          </w:p>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bl>
            <w:tblPr>
              <w:tblOverlap w:val="never"/>
              <w:tblW w:w="10314" w:type="dxa"/>
              <w:tblLayout w:type="fixed"/>
              <w:tblCellMar>
                <w:left w:w="0" w:type="dxa"/>
                <w:right w:w="0" w:type="dxa"/>
              </w:tblCellMar>
              <w:tblLook w:val="01E0"/>
            </w:tblPr>
            <w:tblGrid>
              <w:gridCol w:w="10314"/>
            </w:tblGrid>
            <w:tr w:rsidR="00B6047A" w:rsidRPr="00B6047A" w:rsidTr="00CB6C82">
              <w:tc>
                <w:tcPr>
                  <w:tcW w:w="10314" w:type="dxa"/>
                  <w:tcMar>
                    <w:top w:w="0" w:type="dxa"/>
                    <w:left w:w="0" w:type="dxa"/>
                    <w:bottom w:w="0" w:type="dxa"/>
                    <w:right w:w="400" w:type="dxa"/>
                  </w:tcMar>
                </w:tcPr>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События после отчетной  до предоставления бюджетной отчетности за 2023 год не возникали.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b/>
                      <w:bCs/>
                      <w:color w:val="000000"/>
                      <w:sz w:val="28"/>
                      <w:szCs w:val="28"/>
                    </w:rPr>
                    <w:t>ф.0503168 "Сведения о движении нефинансовых активов"</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Приобретение основных средств осуществлялось в рублях. Основные средства не приобретались с использование расчетов в иностранной валюте. Балансовая стоимость основных средств по состоянию на 01.01.2024  составила 122603,70 рублей. в т.ч.: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Машины и оборудование: остаток  на 01.01.2024 — 111549,70 руб., получено от КУМИ безвозмездно;</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xml:space="preserve">Инвентарь производственный и хозяйственный: остаток на 01.01.2024г- 11054,00, приобретено-17877,00руб.;получено от КУМИ безвозмездно-11054,00 рублей, </w:t>
                  </w:r>
                  <w:r w:rsidRPr="00B6047A">
                    <w:rPr>
                      <w:rFonts w:ascii="Times New Roman" w:eastAsia="Times New Roman" w:hAnsi="Times New Roman" w:cs="Times New Roman"/>
                      <w:color w:val="000000"/>
                      <w:sz w:val="28"/>
                      <w:szCs w:val="28"/>
                    </w:rPr>
                    <w:lastRenderedPageBreak/>
                    <w:t>выбыло -17877,00руб., ( стоимостью до 10000,0 рублей  списаны на забалансовый счет).</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Амортизация по всем основным средствам начисляется ежемесячно линейным методом.  Сумма амортизации по состоянию на 01.01.2024 составила 122603,70 рублей , в том числе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Машины и оборудование: остаток на 01.01.2024г -111549,70., получено от КУМИ;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Инвентарь производственный и хозяйственный :остаток на 01.01.2024-11054,00 руб., начислено амортизации -11054,00 рублей.</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Остаточная стоимость  основных средств  на конец года  составила 0 рублей, так как амортизация на все основные средства начислена 100%.Списание основных средств не производилось.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Материальные запасы по состоянию на 01.01.2024  отсутствуют.В течении года поступили материальные запасы  -1911 рублей ( канцелярские и хозяйственные товары). Выбыли материальные запасы на нужды учреждения  на 1911 рублей).</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Анализ показателей по имуществу отражены в Справке по заключению счетов бюджетного учета в</w:t>
                  </w:r>
                  <w:r w:rsidRPr="00B6047A">
                    <w:rPr>
                      <w:rFonts w:ascii="Times New Roman" w:eastAsia="Times New Roman" w:hAnsi="Times New Roman" w:cs="Times New Roman"/>
                      <w:b/>
                      <w:bCs/>
                      <w:color w:val="000000"/>
                      <w:sz w:val="28"/>
                      <w:szCs w:val="28"/>
                    </w:rPr>
                    <w:t> ф.0503110 </w:t>
                  </w:r>
                  <w:r w:rsidRPr="00B6047A">
                    <w:rPr>
                      <w:rFonts w:ascii="Times New Roman" w:eastAsia="Times New Roman" w:hAnsi="Times New Roman" w:cs="Times New Roman"/>
                      <w:color w:val="000000"/>
                      <w:sz w:val="28"/>
                      <w:szCs w:val="28"/>
                    </w:rPr>
                    <w:t>в разделе доходы по КОСГУ 195.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p>
                <w:p w:rsidR="00B6047A" w:rsidRPr="00B6047A" w:rsidRDefault="00B6047A" w:rsidP="00B6047A">
                  <w:pPr>
                    <w:spacing w:after="0" w:line="240" w:lineRule="auto"/>
                    <w:jc w:val="both"/>
                    <w:rPr>
                      <w:rFonts w:ascii="Times New Roman" w:eastAsia="Times New Roman" w:hAnsi="Times New Roman" w:cs="Times New Roman"/>
                      <w:sz w:val="20"/>
                      <w:szCs w:val="20"/>
                    </w:rPr>
                  </w:pP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b/>
                      <w:bCs/>
                      <w:color w:val="000000"/>
                      <w:sz w:val="28"/>
                      <w:szCs w:val="28"/>
                    </w:rPr>
                    <w:t>ф.0503169"Сведения о дебиторский и кредиторской задолженности"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Просроченная дебиторская и кредиторская задолженность отсутствует. Нереальной к взысканию задолженности нет. Расчеты по недостачам и хищениям отсутствуют.  Дебиторская и кредиторская задолженность, отраженная в форме 0503169 носит текущий характер. По состоянию на 01.01.2024  дебиторская задолженность -12572,16 рублей -сальдо по Единому налоговому платежу.  Сумма кредиторской задолженности  за декабрь 2023 года -46721,97 рублей , в том числе по заработной плате- 17169,27 руб., НДФЛ-3588,00 рублей, страховые взносы- 25964,70 рублей. Оплата кредиторской задолженности будет произведена в январе 2024 года.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b/>
                      <w:bCs/>
                      <w:color w:val="000000"/>
                      <w:sz w:val="28"/>
                      <w:szCs w:val="28"/>
                    </w:rPr>
                    <w:t>ф.0503175 " Сведения  о принятых и неисполненных обязательств получателя бюджетных средств". </w:t>
                  </w:r>
                  <w:r w:rsidRPr="00B6047A">
                    <w:rPr>
                      <w:rFonts w:ascii="Times New Roman" w:eastAsia="Times New Roman" w:hAnsi="Times New Roman" w:cs="Times New Roman"/>
                      <w:color w:val="000000"/>
                      <w:sz w:val="28"/>
                      <w:szCs w:val="28"/>
                    </w:rPr>
                    <w:t>Принятие</w:t>
                  </w:r>
                  <w:r w:rsidRPr="00B6047A">
                    <w:rPr>
                      <w:rFonts w:ascii="Times New Roman" w:eastAsia="Times New Roman" w:hAnsi="Times New Roman" w:cs="Times New Roman"/>
                      <w:b/>
                      <w:bCs/>
                      <w:color w:val="000000"/>
                      <w:sz w:val="28"/>
                      <w:szCs w:val="28"/>
                    </w:rPr>
                    <w:t>  </w:t>
                  </w:r>
                  <w:r w:rsidRPr="00B6047A">
                    <w:rPr>
                      <w:rFonts w:ascii="Times New Roman" w:eastAsia="Times New Roman" w:hAnsi="Times New Roman" w:cs="Times New Roman"/>
                      <w:color w:val="000000"/>
                      <w:sz w:val="28"/>
                      <w:szCs w:val="28"/>
                    </w:rPr>
                    <w:t>бюджетных обязательств(денежных обязательств) сверх утвержденного  учреждению бюджетной отчетности на финансовый год объема бюджетных ассигнований и лимитов бюджетных обязательств ( на основании ф.0503128, а также в составе годовой отчетности на основании ф.0503175 ) отсутствуют.   </w:t>
                  </w:r>
                </w:p>
              </w:tc>
            </w:tr>
          </w:tbl>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lastRenderedPageBreak/>
              <w:t xml:space="preserve"> </w:t>
            </w:r>
          </w:p>
        </w:tc>
      </w:tr>
      <w:tr w:rsidR="00B6047A" w:rsidRPr="00B6047A" w:rsidTr="00CB6C82">
        <w:trPr>
          <w:trHeight w:val="322"/>
        </w:trPr>
        <w:tc>
          <w:tcPr>
            <w:tcW w:w="10314" w:type="dxa"/>
            <w:gridSpan w:val="6"/>
            <w:vMerge w:val="restart"/>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b/>
                <w:bCs/>
                <w:color w:val="000000"/>
                <w:sz w:val="28"/>
                <w:szCs w:val="28"/>
              </w:rPr>
            </w:pPr>
            <w:r w:rsidRPr="00B6047A">
              <w:rPr>
                <w:rFonts w:ascii="Times New Roman" w:eastAsia="Times New Roman" w:hAnsi="Times New Roman" w:cs="Times New Roman"/>
                <w:b/>
                <w:bCs/>
                <w:color w:val="000000"/>
                <w:sz w:val="28"/>
                <w:szCs w:val="28"/>
              </w:rPr>
              <w:lastRenderedPageBreak/>
              <w:t>Раздел 5 "Прочие вопросы деятельности субъекта бюджетной отчетности"</w:t>
            </w:r>
          </w:p>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bl>
            <w:tblPr>
              <w:tblOverlap w:val="never"/>
              <w:tblW w:w="10314" w:type="dxa"/>
              <w:tblLayout w:type="fixed"/>
              <w:tblCellMar>
                <w:left w:w="0" w:type="dxa"/>
                <w:right w:w="0" w:type="dxa"/>
              </w:tblCellMar>
              <w:tblLook w:val="01E0"/>
            </w:tblPr>
            <w:tblGrid>
              <w:gridCol w:w="10314"/>
            </w:tblGrid>
            <w:tr w:rsidR="00B6047A" w:rsidRPr="00B6047A" w:rsidTr="00CB6C82">
              <w:tc>
                <w:tcPr>
                  <w:tcW w:w="10314" w:type="dxa"/>
                  <w:tcMar>
                    <w:top w:w="0" w:type="dxa"/>
                    <w:left w:w="0" w:type="dxa"/>
                    <w:bottom w:w="0" w:type="dxa"/>
                    <w:right w:w="400" w:type="dxa"/>
                  </w:tcMar>
                </w:tcPr>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Показатели отчетности сформированы в соответствии с основными документами, регулирующими вопросы  бюджетного учета и отчетности являются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Бюджетный кодекс Российской Федерации;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Федеральный закон " О бухгалтерском учете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Инструкция по применению единого плана счетов бухгалтерского учета для органов государственной власти(государственных органов), органов местного самоуправления, органов управления государственными внебюджетными фондами, государственных академий наук,государственных (муниципальных) учреждений, утвержденная приказом Минфина Российской Федерации от 01.12.2010 №157н с изменениями и дополнениями к ней;</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Инструкция о порядке составления и предоставления годовой, квартальной и месячной отчетности об исполнении бюджетов системы Российской Федерации, утвержденная Приказом Минфина России от 28.12.2010 №191 с изменениями и дополнениями;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Федеральные стандарты  бухгалтерского учета для организаций государственного сектора;</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Приказ Минфина России от 06.06.2019 №85н "О порядке  формирования и применения кдов бюджетной классификации Российской Федерации, их структуре и принципах назначения";</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Приказ Минфина России от 29.11.2017 № 209н " Об утверждении Порядка применения классификации операции сектора государственного управления".</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При ведении учета и формировании бюджетной отчетности применяются основные положения Учетной политики: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Объекты основных средств стоимостью менее 10000,00 рублей каждый, имеющие сходное назначение и одинаковый срок полезного использования и находящиеся в одном помещении, объединяются в один инвентарный объект и учитываются на забалансовом счете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xml:space="preserve">- Оценка  отдельных объектов бухгалтерского учета в случаях, предусмотренных нормативными правовыми актами, регулирующие ведение бухгалтерского учета и составление бюджетной(бухгалтерской) и финансовой отчетности, осуществляется по справедливой стоимости-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w:t>
                  </w:r>
                  <w:r w:rsidRPr="00B6047A">
                    <w:rPr>
                      <w:rFonts w:ascii="Times New Roman" w:eastAsia="Times New Roman" w:hAnsi="Times New Roman" w:cs="Times New Roman"/>
                      <w:color w:val="000000"/>
                      <w:sz w:val="28"/>
                      <w:szCs w:val="28"/>
                    </w:rPr>
                    <w:lastRenderedPageBreak/>
                    <w:t>желающими ее совершить;</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Справедливая стоимость для различных видов активов и обязательств определяется методом рыночных цен;</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 При одновременном  приобретении нескольких видов материальных запасов расходы, связанные с их приобретением , распределяются пропорционально договорной цене приобретаемых материалов;</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При учете основных средств стоимостью свыше 100000,00 рублей применяется линейный метод начисления амортизации.</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Перед составлением отчетности  за 2023 год  проведена годовая инвентаризация  активов и обязательств инвентаризационной комиссией в составе 3 человек, созданной на  основании Приказа председателя Контрольно- счетной комиссии от 15.02.2023    №17 о/д., согласно Решения №1 от 29.09.2023 года. Расхождений по результатам проведения инвентаризации нет. Условные активы и условные  обязательства, формирующие  существенную информацию на отчетную дату, отсутствуют.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Внешний финансовый контроль не проводился, т.к. учреждение  приступило к работе с 01.01.2023.</w:t>
                  </w:r>
                </w:p>
                <w:p w:rsidR="00B6047A" w:rsidRPr="00B6047A" w:rsidRDefault="00B6047A" w:rsidP="00B6047A">
                  <w:pPr>
                    <w:spacing w:before="190" w:after="19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В связи с отсутствием числовых  показателей в составе отчетности за 2023 год не представляются:</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-сведения об исполнении текстовых статей закона (решения) о бюджете (таблица №3);</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 проведении инвентаризации ( таблица №6);</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отчет о бюджетных обязательствах (ф.0503128-НП);</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об исполнении мероприятий в рамках целевых программ (ф.0503166);</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 целевых иностранных кредитах (ф. 0503167);</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b/>
                      <w:bCs/>
                      <w:color w:val="000000"/>
                      <w:sz w:val="28"/>
                      <w:szCs w:val="28"/>
                    </w:rPr>
                    <w:t>- </w:t>
                  </w:r>
                  <w:r w:rsidRPr="00B6047A">
                    <w:rPr>
                      <w:rFonts w:ascii="Times New Roman" w:eastAsia="Times New Roman" w:hAnsi="Times New Roman" w:cs="Times New Roman"/>
                      <w:color w:val="000000"/>
                      <w:sz w:val="28"/>
                      <w:szCs w:val="28"/>
                    </w:rPr>
                    <w:t>сведения о нефинансовых вложениях получателя бюджетных средств, администратора источников финансирования дефицита бюджета(ф.0503171);</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 государственном (муниципальном) долге, предоставленных бюджетных кредитах (ф.0503172);</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об изменении остатков валюты баланса.</w:t>
                  </w:r>
                  <w:r>
                    <w:rPr>
                      <w:rFonts w:ascii="Times New Roman" w:eastAsia="Times New Roman" w:hAnsi="Times New Roman" w:cs="Times New Roman"/>
                      <w:color w:val="000000"/>
                      <w:sz w:val="28"/>
                      <w:szCs w:val="28"/>
                    </w:rPr>
                    <w:t xml:space="preserve"> </w:t>
                  </w:r>
                  <w:r w:rsidRPr="00B6047A">
                    <w:rPr>
                      <w:rFonts w:ascii="Times New Roman" w:eastAsia="Times New Roman" w:hAnsi="Times New Roman" w:cs="Times New Roman"/>
                      <w:color w:val="000000"/>
                      <w:sz w:val="28"/>
                      <w:szCs w:val="28"/>
                    </w:rPr>
                    <w:t>Бюджетная деятельность (ф.0503173 );</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xml:space="preserve">- сведения о доходах бюджета от перечисления части прибыли(дивидендов) государственных (муниципальных) унитарных предприятий, иных организаций с </w:t>
                  </w:r>
                  <w:r w:rsidRPr="00B6047A">
                    <w:rPr>
                      <w:rFonts w:ascii="Times New Roman" w:eastAsia="Times New Roman" w:hAnsi="Times New Roman" w:cs="Times New Roman"/>
                      <w:color w:val="000000"/>
                      <w:sz w:val="28"/>
                      <w:szCs w:val="28"/>
                    </w:rPr>
                    <w:lastRenderedPageBreak/>
                    <w:t>государственным участием в капитале(ф.0503174);</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об остатках денежных средств на счетах получателя бюджетных средств ( ф.0503178);</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справка о суммах консолидируемых поступлений, подлежащих зачислению на счет бюджета (ф.0503184);</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 вложениях в объекты недвижимого имущества,</w:t>
                  </w:r>
                  <w:r>
                    <w:rPr>
                      <w:rFonts w:ascii="Times New Roman" w:eastAsia="Times New Roman" w:hAnsi="Times New Roman" w:cs="Times New Roman"/>
                      <w:color w:val="000000"/>
                      <w:sz w:val="28"/>
                      <w:szCs w:val="28"/>
                    </w:rPr>
                    <w:t xml:space="preserve"> </w:t>
                  </w:r>
                  <w:r w:rsidRPr="00B6047A">
                    <w:rPr>
                      <w:rFonts w:ascii="Times New Roman" w:eastAsia="Times New Roman" w:hAnsi="Times New Roman" w:cs="Times New Roman"/>
                      <w:color w:val="000000"/>
                      <w:sz w:val="28"/>
                      <w:szCs w:val="28"/>
                    </w:rPr>
                    <w:t>объектах незавершенного строительства (ф.0503190);</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 сведения об исполнении судебных решений по денежным обязательствам учреждения ( ф.0503295);</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b/>
                      <w:bCs/>
                      <w:color w:val="000000"/>
                      <w:sz w:val="28"/>
                      <w:szCs w:val="28"/>
                    </w:rPr>
                    <w:t>-</w:t>
                  </w:r>
                  <w:r w:rsidRPr="00B6047A">
                    <w:rPr>
                      <w:rFonts w:ascii="Times New Roman" w:eastAsia="Times New Roman" w:hAnsi="Times New Roman" w:cs="Times New Roman"/>
                      <w:color w:val="000000"/>
                      <w:sz w:val="28"/>
                      <w:szCs w:val="28"/>
                    </w:rPr>
                    <w:t>сведения об исполнении судебных решений по денежным обязательствам (ф.0503296).</w:t>
                  </w:r>
                </w:p>
                <w:p w:rsidR="00B6047A" w:rsidRPr="00B6047A" w:rsidRDefault="00B6047A" w:rsidP="00B6047A">
                  <w:pPr>
                    <w:spacing w:before="190" w:after="190" w:line="240" w:lineRule="auto"/>
                    <w:jc w:val="both"/>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Для ведения бюджетного  учета  и сдачи отчетности  используются  программы  автоматизированного бухгалтерского учета :ЕЦИС АС "Смета";система электронного документооборота СБИС.</w:t>
                  </w:r>
                </w:p>
              </w:tc>
            </w:tr>
          </w:tbl>
          <w:p w:rsidR="00B6047A" w:rsidRPr="00B6047A" w:rsidRDefault="00B6047A" w:rsidP="00B6047A">
            <w:pPr>
              <w:spacing w:after="0" w:line="240" w:lineRule="auto"/>
              <w:jc w:val="both"/>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lastRenderedPageBreak/>
              <w:t xml:space="preserve"> </w:t>
            </w:r>
          </w:p>
        </w:tc>
      </w:tr>
      <w:tr w:rsidR="00B6047A" w:rsidRPr="00B6047A" w:rsidTr="00CB6C82">
        <w:tc>
          <w:tcPr>
            <w:tcW w:w="2494"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13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2834"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587"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bl>
    <w:p w:rsidR="00B6047A" w:rsidRPr="00B6047A" w:rsidRDefault="00B6047A" w:rsidP="00B6047A">
      <w:pPr>
        <w:spacing w:after="0" w:line="240" w:lineRule="auto"/>
        <w:rPr>
          <w:rFonts w:ascii="Times New Roman" w:eastAsia="Times New Roman" w:hAnsi="Times New Roman" w:cs="Times New Roman"/>
          <w:vanish/>
          <w:sz w:val="20"/>
          <w:szCs w:val="20"/>
        </w:rPr>
      </w:pPr>
      <w:bookmarkStart w:id="2" w:name="__bookmark_4"/>
      <w:bookmarkEnd w:id="2"/>
    </w:p>
    <w:tbl>
      <w:tblPr>
        <w:tblOverlap w:val="never"/>
        <w:tblW w:w="10372" w:type="dxa"/>
        <w:tblLayout w:type="fixed"/>
        <w:tblLook w:val="01E0"/>
      </w:tblPr>
      <w:tblGrid>
        <w:gridCol w:w="3118"/>
        <w:gridCol w:w="1700"/>
        <w:gridCol w:w="850"/>
        <w:gridCol w:w="3685"/>
        <w:gridCol w:w="453"/>
        <w:gridCol w:w="566"/>
      </w:tblGrid>
      <w:tr w:rsidR="00B6047A" w:rsidRPr="00B6047A" w:rsidTr="00CB6C8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Председатель контрольно-счетной комиссии Чагодощенского муниципального округа Вологодской области</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B6047A" w:rsidRPr="00B6047A" w:rsidTr="00CB6C82">
              <w:trPr>
                <w:jc w:val="center"/>
              </w:trPr>
              <w:tc>
                <w:tcPr>
                  <w:tcW w:w="3685"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Н.В. Васильева</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vMerge/>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color w:val="000000"/>
                <w:sz w:val="14"/>
                <w:szCs w:val="14"/>
              </w:rPr>
            </w:pPr>
            <w:r w:rsidRPr="00B6047A">
              <w:rPr>
                <w:rFonts w:ascii="Times New Roman" w:eastAsia="Times New Roman" w:hAnsi="Times New Roman" w:cs="Times New Roman"/>
                <w:color w:val="000000"/>
                <w:sz w:val="14"/>
                <w:szCs w:val="14"/>
              </w:rPr>
              <w:t>(расшифровка подписи)</w:t>
            </w: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64"/>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tblPr>
            <w:tblGrid>
              <w:gridCol w:w="990"/>
              <w:gridCol w:w="1005"/>
              <w:gridCol w:w="1005"/>
              <w:gridCol w:w="1005"/>
              <w:gridCol w:w="1005"/>
              <w:gridCol w:w="1005"/>
            </w:tblGrid>
            <w:tr w:rsidR="00B6047A" w:rsidRPr="00B6047A" w:rsidTr="00CB6C82">
              <w:trPr>
                <w:trHeight w:val="230"/>
              </w:trPr>
              <w:tc>
                <w:tcPr>
                  <w:tcW w:w="6015" w:type="dxa"/>
                  <w:gridSpan w:val="6"/>
                  <w:vMerge w:val="restart"/>
                  <w:tcMar>
                    <w:top w:w="0" w:type="dxa"/>
                    <w:left w:w="0" w:type="dxa"/>
                    <w:bottom w:w="0" w:type="dxa"/>
                    <w:right w:w="0" w:type="dxa"/>
                  </w:tcMar>
                  <w:vAlign w:val="center"/>
                </w:tcPr>
                <w:p w:rsidR="00B6047A" w:rsidRPr="00B6047A" w:rsidRDefault="00B6047A" w:rsidP="00B6047A">
                  <w:pPr>
                    <w:spacing w:after="0" w:line="240" w:lineRule="auto"/>
                    <w:jc w:val="center"/>
                    <w:rPr>
                      <w:rFonts w:ascii="Times New Roman" w:eastAsia="Times New Roman" w:hAnsi="Times New Roman" w:cs="Times New Roman"/>
                      <w:b/>
                      <w:bCs/>
                      <w:color w:val="000000"/>
                      <w:sz w:val="20"/>
                      <w:szCs w:val="20"/>
                    </w:rPr>
                  </w:pPr>
                  <w:r w:rsidRPr="00B6047A">
                    <w:rPr>
                      <w:rFonts w:ascii="Times New Roman" w:eastAsia="Times New Roman" w:hAnsi="Times New Roman" w:cs="Times New Roman"/>
                      <w:b/>
                      <w:bCs/>
                      <w:color w:val="000000"/>
                      <w:sz w:val="20"/>
                      <w:szCs w:val="20"/>
                    </w:rPr>
                    <w:t>ДОКУМЕНТ ПОДПИСАН ЭЛЕКТРОННОЙ ПОДПИСЬЮ</w:t>
                  </w:r>
                </w:p>
              </w:tc>
            </w:tr>
            <w:tr w:rsidR="00B6047A" w:rsidRPr="00B6047A" w:rsidTr="00CB6C82">
              <w:trPr>
                <w:trHeight w:val="105"/>
              </w:trPr>
              <w:tc>
                <w:tcPr>
                  <w:tcW w:w="6015" w:type="dxa"/>
                  <w:gridSpan w:val="6"/>
                  <w:vMerge/>
                  <w:tcMar>
                    <w:top w:w="0" w:type="dxa"/>
                    <w:left w:w="0" w:type="dxa"/>
                    <w:bottom w:w="0" w:type="dxa"/>
                    <w:right w:w="0" w:type="dxa"/>
                  </w:tcMar>
                  <w:vAlign w:val="cente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tblPr>
                  <w:tblGrid>
                    <w:gridCol w:w="6015"/>
                  </w:tblGrid>
                  <w:tr w:rsidR="00B6047A" w:rsidRPr="00B6047A" w:rsidTr="00CB6C82">
                    <w:tc>
                      <w:tcPr>
                        <w:tcW w:w="6015"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Сертификат: 00dbf823c75fed51b1bc2e97bc3150ff5f</w:t>
                        </w:r>
                      </w:p>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Владелец: Васильева Наталья Вадимовна</w:t>
                        </w:r>
                      </w:p>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Действителен с 09.01.2023 по 03.04.2024</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5"/>
              </w:trPr>
              <w:tc>
                <w:tcPr>
                  <w:tcW w:w="99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Руководитель планово-экономической службы</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B6047A" w:rsidRPr="00B6047A" w:rsidTr="00CB6C82">
              <w:trPr>
                <w:jc w:val="center"/>
              </w:trPr>
              <w:tc>
                <w:tcPr>
                  <w:tcW w:w="3685" w:type="dxa"/>
                  <w:tcMar>
                    <w:top w:w="0" w:type="dxa"/>
                    <w:left w:w="0" w:type="dxa"/>
                    <w:bottom w:w="0" w:type="dxa"/>
                    <w:right w:w="0" w:type="dxa"/>
                  </w:tcMar>
                </w:tcPr>
                <w:p w:rsidR="00B6047A" w:rsidRPr="00B6047A" w:rsidRDefault="00B6047A" w:rsidP="00B6047A">
                  <w:pPr>
                    <w:spacing w:after="0" w:line="1" w:lineRule="auto"/>
                    <w:jc w:val="center"/>
                    <w:rPr>
                      <w:rFonts w:ascii="Times New Roman" w:eastAsia="Times New Roman" w:hAnsi="Times New Roman" w:cs="Times New Roman"/>
                      <w:sz w:val="20"/>
                      <w:szCs w:val="20"/>
                    </w:rPr>
                  </w:pP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vMerge/>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pBdr>
                <w:top w:val="single" w:sz="6" w:space="0" w:color="000000"/>
              </w:pBdr>
              <w:spacing w:after="0" w:line="240" w:lineRule="auto"/>
              <w:jc w:val="center"/>
              <w:rPr>
                <w:rFonts w:ascii="Times New Roman" w:eastAsia="Times New Roman" w:hAnsi="Times New Roman" w:cs="Times New Roman"/>
                <w:color w:val="000000"/>
                <w:sz w:val="14"/>
                <w:szCs w:val="14"/>
              </w:rPr>
            </w:pPr>
            <w:r w:rsidRPr="00B6047A">
              <w:rPr>
                <w:rFonts w:ascii="Times New Roman" w:eastAsia="Times New Roman" w:hAnsi="Times New Roman" w:cs="Times New Roman"/>
                <w:color w:val="000000"/>
                <w:sz w:val="14"/>
                <w:szCs w:val="14"/>
              </w:rPr>
              <w:t>(подпись)</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color w:val="000000"/>
                <w:sz w:val="14"/>
                <w:szCs w:val="14"/>
              </w:rPr>
            </w:pPr>
            <w:r w:rsidRPr="00B6047A">
              <w:rPr>
                <w:rFonts w:ascii="Times New Roman" w:eastAsia="Times New Roman" w:hAnsi="Times New Roman" w:cs="Times New Roman"/>
                <w:color w:val="000000"/>
                <w:sz w:val="14"/>
                <w:szCs w:val="14"/>
              </w:rPr>
              <w:t>(расшифровка подписи)</w:t>
            </w: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1"/>
        </w:trPr>
        <w:tc>
          <w:tcPr>
            <w:tcW w:w="10372" w:type="dxa"/>
            <w:gridSpan w:val="6"/>
            <w:vMerge w:val="restart"/>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Директор МКУ «Центр обеспечения»</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B6047A" w:rsidRPr="00B6047A" w:rsidTr="00CB6C82">
              <w:trPr>
                <w:jc w:val="center"/>
              </w:trPr>
              <w:tc>
                <w:tcPr>
                  <w:tcW w:w="3685"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С.Н. Евдокимова</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vMerge/>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color w:val="000000"/>
                <w:sz w:val="14"/>
                <w:szCs w:val="14"/>
              </w:rPr>
            </w:pPr>
            <w:r w:rsidRPr="00B6047A">
              <w:rPr>
                <w:rFonts w:ascii="Times New Roman" w:eastAsia="Times New Roman" w:hAnsi="Times New Roman" w:cs="Times New Roman"/>
                <w:color w:val="000000"/>
                <w:sz w:val="14"/>
                <w:szCs w:val="14"/>
              </w:rPr>
              <w:t>(расшифровка подписи)</w:t>
            </w: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64"/>
        </w:trPr>
        <w:tc>
          <w:tcPr>
            <w:tcW w:w="10372" w:type="dxa"/>
            <w:gridSpan w:val="6"/>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tblPr>
            <w:tblGrid>
              <w:gridCol w:w="990"/>
              <w:gridCol w:w="1005"/>
              <w:gridCol w:w="1005"/>
              <w:gridCol w:w="1005"/>
              <w:gridCol w:w="1005"/>
              <w:gridCol w:w="1005"/>
            </w:tblGrid>
            <w:tr w:rsidR="00B6047A" w:rsidRPr="00B6047A" w:rsidTr="00CB6C82">
              <w:trPr>
                <w:trHeight w:val="230"/>
              </w:trPr>
              <w:tc>
                <w:tcPr>
                  <w:tcW w:w="6015" w:type="dxa"/>
                  <w:gridSpan w:val="6"/>
                  <w:vMerge w:val="restart"/>
                  <w:tcMar>
                    <w:top w:w="0" w:type="dxa"/>
                    <w:left w:w="0" w:type="dxa"/>
                    <w:bottom w:w="0" w:type="dxa"/>
                    <w:right w:w="0" w:type="dxa"/>
                  </w:tcMar>
                  <w:vAlign w:val="center"/>
                </w:tcPr>
                <w:p w:rsidR="00B6047A" w:rsidRPr="00B6047A" w:rsidRDefault="00B6047A" w:rsidP="00B6047A">
                  <w:pPr>
                    <w:spacing w:after="0" w:line="240" w:lineRule="auto"/>
                    <w:jc w:val="center"/>
                    <w:rPr>
                      <w:rFonts w:ascii="Times New Roman" w:eastAsia="Times New Roman" w:hAnsi="Times New Roman" w:cs="Times New Roman"/>
                      <w:b/>
                      <w:bCs/>
                      <w:color w:val="000000"/>
                      <w:sz w:val="20"/>
                      <w:szCs w:val="20"/>
                    </w:rPr>
                  </w:pPr>
                  <w:r w:rsidRPr="00B6047A">
                    <w:rPr>
                      <w:rFonts w:ascii="Times New Roman" w:eastAsia="Times New Roman" w:hAnsi="Times New Roman" w:cs="Times New Roman"/>
                      <w:b/>
                      <w:bCs/>
                      <w:color w:val="000000"/>
                      <w:sz w:val="20"/>
                      <w:szCs w:val="20"/>
                    </w:rPr>
                    <w:t>ДОКУМЕНТ ПОДПИСАН ЭЛЕКТРОННОЙ ПОДПИСЬЮ</w:t>
                  </w:r>
                </w:p>
              </w:tc>
            </w:tr>
            <w:tr w:rsidR="00B6047A" w:rsidRPr="00B6047A" w:rsidTr="00CB6C82">
              <w:trPr>
                <w:trHeight w:val="105"/>
              </w:trPr>
              <w:tc>
                <w:tcPr>
                  <w:tcW w:w="6015" w:type="dxa"/>
                  <w:gridSpan w:val="6"/>
                  <w:vMerge/>
                  <w:tcMar>
                    <w:top w:w="0" w:type="dxa"/>
                    <w:left w:w="0" w:type="dxa"/>
                    <w:bottom w:w="0" w:type="dxa"/>
                    <w:right w:w="0" w:type="dxa"/>
                  </w:tcMar>
                  <w:vAlign w:val="cente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tblPr>
                  <w:tblGrid>
                    <w:gridCol w:w="6015"/>
                  </w:tblGrid>
                  <w:tr w:rsidR="00B6047A" w:rsidRPr="00B6047A" w:rsidTr="00CB6C82">
                    <w:tc>
                      <w:tcPr>
                        <w:tcW w:w="6015"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Сертификат: 00B0BF2E0EF6E2197ECC04D5ACE55491FC</w:t>
                        </w:r>
                      </w:p>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Владелец: Евдокимова Светлана Николаевна</w:t>
                        </w:r>
                      </w:p>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Действителен с 04.09.2023 по 27.11.2024</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5"/>
              </w:trPr>
              <w:tc>
                <w:tcPr>
                  <w:tcW w:w="99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Главный бухгалтер МКУ «Центр обеспечения»</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t xml:space="preserve"> </w:t>
            </w: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B6047A" w:rsidRPr="00B6047A" w:rsidTr="00CB6C82">
              <w:trPr>
                <w:jc w:val="center"/>
              </w:trPr>
              <w:tc>
                <w:tcPr>
                  <w:tcW w:w="3685"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А.А. Орлова</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vMerge/>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70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240" w:lineRule="auto"/>
              <w:jc w:val="center"/>
              <w:rPr>
                <w:rFonts w:ascii="Times New Roman" w:eastAsia="Times New Roman" w:hAnsi="Times New Roman" w:cs="Times New Roman"/>
                <w:color w:val="000000"/>
                <w:sz w:val="14"/>
                <w:szCs w:val="14"/>
              </w:rPr>
            </w:pPr>
            <w:r w:rsidRPr="00B6047A">
              <w:rPr>
                <w:rFonts w:ascii="Times New Roman" w:eastAsia="Times New Roman" w:hAnsi="Times New Roman" w:cs="Times New Roman"/>
                <w:color w:val="000000"/>
                <w:sz w:val="14"/>
                <w:szCs w:val="14"/>
              </w:rPr>
              <w:t>(расшифровка подписи)</w:t>
            </w: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64"/>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tblPr>
            <w:tblGrid>
              <w:gridCol w:w="990"/>
              <w:gridCol w:w="1005"/>
              <w:gridCol w:w="1005"/>
              <w:gridCol w:w="1005"/>
              <w:gridCol w:w="1005"/>
              <w:gridCol w:w="1005"/>
            </w:tblGrid>
            <w:tr w:rsidR="00B6047A" w:rsidRPr="00B6047A" w:rsidTr="00CB6C82">
              <w:trPr>
                <w:trHeight w:val="230"/>
              </w:trPr>
              <w:tc>
                <w:tcPr>
                  <w:tcW w:w="6015" w:type="dxa"/>
                  <w:gridSpan w:val="6"/>
                  <w:vMerge w:val="restart"/>
                  <w:tcMar>
                    <w:top w:w="0" w:type="dxa"/>
                    <w:left w:w="0" w:type="dxa"/>
                    <w:bottom w:w="0" w:type="dxa"/>
                    <w:right w:w="0" w:type="dxa"/>
                  </w:tcMar>
                  <w:vAlign w:val="center"/>
                </w:tcPr>
                <w:p w:rsidR="00B6047A" w:rsidRPr="00B6047A" w:rsidRDefault="00B6047A" w:rsidP="00B6047A">
                  <w:pPr>
                    <w:spacing w:after="0" w:line="240" w:lineRule="auto"/>
                    <w:jc w:val="center"/>
                    <w:rPr>
                      <w:rFonts w:ascii="Times New Roman" w:eastAsia="Times New Roman" w:hAnsi="Times New Roman" w:cs="Times New Roman"/>
                      <w:b/>
                      <w:bCs/>
                      <w:color w:val="000000"/>
                      <w:sz w:val="20"/>
                      <w:szCs w:val="20"/>
                    </w:rPr>
                  </w:pPr>
                  <w:r w:rsidRPr="00B6047A">
                    <w:rPr>
                      <w:rFonts w:ascii="Times New Roman" w:eastAsia="Times New Roman" w:hAnsi="Times New Roman" w:cs="Times New Roman"/>
                      <w:b/>
                      <w:bCs/>
                      <w:color w:val="000000"/>
                      <w:sz w:val="20"/>
                      <w:szCs w:val="20"/>
                    </w:rPr>
                    <w:t>ДОКУМЕНТ ПОДПИСАН ЭЛЕКТРОННОЙ ПОДПИСЬЮ</w:t>
                  </w:r>
                </w:p>
              </w:tc>
            </w:tr>
            <w:tr w:rsidR="00B6047A" w:rsidRPr="00B6047A" w:rsidTr="00CB6C82">
              <w:trPr>
                <w:trHeight w:val="105"/>
              </w:trPr>
              <w:tc>
                <w:tcPr>
                  <w:tcW w:w="6015" w:type="dxa"/>
                  <w:gridSpan w:val="6"/>
                  <w:vMerge/>
                  <w:tcMar>
                    <w:top w:w="0" w:type="dxa"/>
                    <w:left w:w="0" w:type="dxa"/>
                    <w:bottom w:w="0" w:type="dxa"/>
                    <w:right w:w="0" w:type="dxa"/>
                  </w:tcMar>
                  <w:vAlign w:val="cente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tblPr>
                  <w:tblGrid>
                    <w:gridCol w:w="6015"/>
                  </w:tblGrid>
                  <w:tr w:rsidR="00B6047A" w:rsidRPr="00B6047A" w:rsidTr="00CB6C82">
                    <w:tc>
                      <w:tcPr>
                        <w:tcW w:w="6015"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lastRenderedPageBreak/>
                          <w:t>Сертификат: 009577eccb512e4b4be4e350f897133c8f</w:t>
                        </w:r>
                      </w:p>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Владелец: Орлова Анна Анатольевна</w:t>
                        </w:r>
                      </w:p>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0"/>
                            <w:szCs w:val="20"/>
                          </w:rPr>
                          <w:t>Действителен с 29.06.2023 по 21.09.2024</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rPr>
                <w:trHeight w:val="45"/>
              </w:trPr>
              <w:tc>
                <w:tcPr>
                  <w:tcW w:w="99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100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bl>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3118"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color w:val="000000"/>
                <w:sz w:val="28"/>
                <w:szCs w:val="28"/>
              </w:rPr>
            </w:pPr>
            <w:r w:rsidRPr="00B6047A">
              <w:rPr>
                <w:rFonts w:ascii="Times New Roman" w:eastAsia="Times New Roman" w:hAnsi="Times New Roman" w:cs="Times New Roman"/>
                <w:color w:val="000000"/>
                <w:sz w:val="28"/>
                <w:szCs w:val="28"/>
              </w:rPr>
              <w:lastRenderedPageBreak/>
              <w:t xml:space="preserve"> </w:t>
            </w:r>
          </w:p>
        </w:tc>
        <w:tc>
          <w:tcPr>
            <w:tcW w:w="170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850"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3685"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453"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r w:rsidR="00B6047A" w:rsidRPr="00B6047A" w:rsidTr="00CB6C82">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tblPr>
            <w:tblGrid>
              <w:gridCol w:w="9806"/>
            </w:tblGrid>
            <w:tr w:rsidR="00B6047A" w:rsidRPr="00B6047A" w:rsidTr="00CB6C82">
              <w:tc>
                <w:tcPr>
                  <w:tcW w:w="9806" w:type="dxa"/>
                  <w:tcMar>
                    <w:top w:w="0" w:type="dxa"/>
                    <w:left w:w="0" w:type="dxa"/>
                    <w:bottom w:w="0" w:type="dxa"/>
                    <w:right w:w="0" w:type="dxa"/>
                  </w:tcMar>
                </w:tcPr>
                <w:p w:rsidR="00B6047A" w:rsidRPr="00B6047A" w:rsidRDefault="00B6047A" w:rsidP="00B6047A">
                  <w:pPr>
                    <w:spacing w:after="0" w:line="240" w:lineRule="auto"/>
                    <w:rPr>
                      <w:rFonts w:ascii="Times New Roman" w:eastAsia="Times New Roman" w:hAnsi="Times New Roman" w:cs="Times New Roman"/>
                      <w:sz w:val="20"/>
                      <w:szCs w:val="20"/>
                    </w:rPr>
                  </w:pPr>
                  <w:r w:rsidRPr="00B6047A">
                    <w:rPr>
                      <w:rFonts w:ascii="Times New Roman" w:eastAsia="Times New Roman" w:hAnsi="Times New Roman" w:cs="Times New Roman"/>
                      <w:color w:val="000000"/>
                      <w:sz w:val="28"/>
                      <w:szCs w:val="28"/>
                    </w:rPr>
                    <w:t>2 февраля 2024 г.</w:t>
                  </w:r>
                </w:p>
              </w:tc>
            </w:tr>
          </w:tbl>
          <w:p w:rsidR="00B6047A" w:rsidRPr="00B6047A" w:rsidRDefault="00B6047A" w:rsidP="00B6047A">
            <w:pPr>
              <w:spacing w:after="0" w:line="1" w:lineRule="auto"/>
              <w:rPr>
                <w:rFonts w:ascii="Times New Roman" w:eastAsia="Times New Roman" w:hAnsi="Times New Roman" w:cs="Times New Roman"/>
                <w:sz w:val="20"/>
                <w:szCs w:val="20"/>
              </w:rPr>
            </w:pPr>
          </w:p>
        </w:tc>
        <w:tc>
          <w:tcPr>
            <w:tcW w:w="566" w:type="dxa"/>
            <w:tcMar>
              <w:top w:w="0" w:type="dxa"/>
              <w:left w:w="0" w:type="dxa"/>
              <w:bottom w:w="0" w:type="dxa"/>
              <w:right w:w="0" w:type="dxa"/>
            </w:tcMar>
          </w:tcPr>
          <w:p w:rsidR="00B6047A" w:rsidRPr="00B6047A" w:rsidRDefault="00B6047A" w:rsidP="00B6047A">
            <w:pPr>
              <w:spacing w:after="0" w:line="1" w:lineRule="auto"/>
              <w:rPr>
                <w:rFonts w:ascii="Times New Roman" w:eastAsia="Times New Roman" w:hAnsi="Times New Roman" w:cs="Times New Roman"/>
                <w:sz w:val="20"/>
                <w:szCs w:val="20"/>
              </w:rPr>
            </w:pPr>
          </w:p>
        </w:tc>
      </w:tr>
    </w:tbl>
    <w:p w:rsidR="00B6047A" w:rsidRPr="00B6047A" w:rsidRDefault="00B6047A" w:rsidP="00B6047A">
      <w:pPr>
        <w:spacing w:after="0" w:line="240" w:lineRule="auto"/>
        <w:rPr>
          <w:rFonts w:ascii="Times New Roman" w:eastAsia="Times New Roman" w:hAnsi="Times New Roman" w:cs="Times New Roman"/>
          <w:sz w:val="20"/>
          <w:szCs w:val="20"/>
        </w:rPr>
        <w:sectPr w:rsidR="00B6047A" w:rsidRPr="00B6047A">
          <w:headerReference w:type="default" r:id="rId4"/>
          <w:footerReference w:type="default" r:id="rId5"/>
          <w:pgSz w:w="11905" w:h="16837"/>
          <w:pgMar w:top="1133" w:right="566" w:bottom="1133" w:left="1133" w:header="1133" w:footer="1133" w:gutter="0"/>
          <w:cols w:space="720"/>
        </w:sectPr>
      </w:pPr>
    </w:p>
    <w:p w:rsidR="00B6047A" w:rsidRPr="00B6047A" w:rsidRDefault="00B6047A" w:rsidP="00B6047A">
      <w:pPr>
        <w:spacing w:after="0" w:line="240" w:lineRule="auto"/>
        <w:rPr>
          <w:rFonts w:ascii="Times New Roman" w:eastAsia="Times New Roman" w:hAnsi="Times New Roman" w:cs="Times New Roman"/>
          <w:vanish/>
          <w:sz w:val="20"/>
          <w:szCs w:val="20"/>
        </w:rPr>
      </w:pPr>
      <w:bookmarkStart w:id="3" w:name="__bookmark_6"/>
      <w:bookmarkEnd w:id="3"/>
    </w:p>
    <w:p w:rsidR="00B6047A" w:rsidRPr="00B6047A" w:rsidRDefault="00B6047A" w:rsidP="00B6047A">
      <w:pPr>
        <w:spacing w:after="0" w:line="240" w:lineRule="auto"/>
        <w:rPr>
          <w:rFonts w:ascii="Times New Roman" w:eastAsia="Times New Roman" w:hAnsi="Times New Roman" w:cs="Times New Roman"/>
          <w:vanish/>
          <w:sz w:val="20"/>
          <w:szCs w:val="20"/>
        </w:rPr>
      </w:pPr>
      <w:bookmarkStart w:id="4" w:name="__bookmark_9"/>
      <w:bookmarkEnd w:id="4"/>
    </w:p>
    <w:p w:rsidR="00B6047A" w:rsidRPr="00B6047A" w:rsidRDefault="00B6047A" w:rsidP="00B6047A">
      <w:pPr>
        <w:spacing w:after="0" w:line="240" w:lineRule="auto"/>
        <w:rPr>
          <w:rFonts w:ascii="Times New Roman" w:eastAsia="Times New Roman" w:hAnsi="Times New Roman" w:cs="Times New Roman"/>
          <w:vanish/>
          <w:sz w:val="20"/>
          <w:szCs w:val="20"/>
        </w:rPr>
      </w:pPr>
      <w:bookmarkStart w:id="5" w:name="__bookmark_11"/>
      <w:bookmarkEnd w:id="5"/>
    </w:p>
    <w:p w:rsidR="00B6047A" w:rsidRPr="00B6047A" w:rsidRDefault="00B6047A" w:rsidP="00B6047A">
      <w:pPr>
        <w:spacing w:after="0" w:line="240" w:lineRule="auto"/>
        <w:rPr>
          <w:rFonts w:ascii="Times New Roman" w:eastAsia="Times New Roman" w:hAnsi="Times New Roman" w:cs="Times New Roman"/>
          <w:vanish/>
          <w:sz w:val="20"/>
          <w:szCs w:val="20"/>
        </w:rPr>
      </w:pPr>
      <w:bookmarkStart w:id="6" w:name="__bookmark_17"/>
      <w:bookmarkEnd w:id="6"/>
    </w:p>
    <w:sectPr w:rsidR="00B6047A" w:rsidRPr="00B6047A" w:rsidSect="00907B18">
      <w:headerReference w:type="default" r:id="rId6"/>
      <w:footerReference w:type="default" r:id="rId7"/>
      <w:pgSz w:w="11905" w:h="16837"/>
      <w:pgMar w:top="1133" w:right="566" w:bottom="1133" w:left="1133" w:header="1133" w:footer="1133"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B6047A">
      <w:trPr>
        <w:trHeight w:val="56"/>
      </w:trPr>
      <w:tc>
        <w:tcPr>
          <w:tcW w:w="10421" w:type="dxa"/>
        </w:tcPr>
        <w:p w:rsidR="00B6047A" w:rsidRDefault="00B6047A">
          <w:pPr>
            <w:spacing w:line="1"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907B18">
      <w:trPr>
        <w:trHeight w:val="56"/>
      </w:trPr>
      <w:tc>
        <w:tcPr>
          <w:tcW w:w="10421" w:type="dxa"/>
        </w:tcPr>
        <w:p w:rsidR="00907B18" w:rsidRDefault="00B6047A">
          <w:pPr>
            <w:spacing w:line="1" w:lineRule="auto"/>
          </w:pP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B6047A">
      <w:trPr>
        <w:trHeight w:val="56"/>
      </w:trPr>
      <w:tc>
        <w:tcPr>
          <w:tcW w:w="10421" w:type="dxa"/>
        </w:tcPr>
        <w:p w:rsidR="00B6047A" w:rsidRDefault="00B6047A">
          <w:pPr>
            <w:spacing w:line="1"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907B18">
      <w:trPr>
        <w:trHeight w:val="56"/>
      </w:trPr>
      <w:tc>
        <w:tcPr>
          <w:tcW w:w="10421" w:type="dxa"/>
        </w:tcPr>
        <w:p w:rsidR="00907B18" w:rsidRDefault="00B6047A">
          <w:pPr>
            <w:spacing w:line="1" w:lineRule="auto"/>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6047A"/>
    <w:rsid w:val="00B60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047A"/>
  </w:style>
  <w:style w:type="paragraph" w:styleId="4">
    <w:name w:val="toc 4"/>
    <w:autoRedefine/>
    <w:rsid w:val="00B6047A"/>
    <w:pPr>
      <w:spacing w:after="0" w:line="240" w:lineRule="auto"/>
    </w:pPr>
    <w:rPr>
      <w:rFonts w:ascii="Times New Roman" w:eastAsia="Times New Roman" w:hAnsi="Times New Roman" w:cs="Times New Roman"/>
      <w:sz w:val="20"/>
      <w:szCs w:val="20"/>
    </w:rPr>
  </w:style>
  <w:style w:type="character" w:styleId="a3">
    <w:name w:val="Hyperlink"/>
    <w:rsid w:val="00B604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3085</Words>
  <Characters>17590</Characters>
  <Application>Microsoft Office Word</Application>
  <DocSecurity>0</DocSecurity>
  <Lines>146</Lines>
  <Paragraphs>41</Paragraphs>
  <ScaleCrop>false</ScaleCrop>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2024-04-18T11:57:00Z</dcterms:created>
  <dcterms:modified xsi:type="dcterms:W3CDTF">2024-04-18T12:02:00Z</dcterms:modified>
</cp:coreProperties>
</file>