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КОНТРОЛЬНО-СЧЁТНАЯ  КОМИССИЯ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ЧАГОДОЩЕНСКОГО  МУНИЦИПАЛЬНОГО  ОКРУГА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</w:rPr>
      </w:pPr>
      <w:r w:rsidRPr="00C80B16">
        <w:rPr>
          <w:rFonts w:ascii="Times New Roman" w:hAnsi="Times New Roman" w:cs="Times New Roman"/>
          <w:b/>
          <w:bCs/>
        </w:rPr>
        <w:t>ВОЛОГОДСКОЙ ОБЛАСТИ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B1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EA4C2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77D9A">
        <w:rPr>
          <w:rFonts w:ascii="Times New Roman" w:hAnsi="Times New Roman" w:cs="Times New Roman"/>
          <w:b/>
          <w:sz w:val="28"/>
          <w:szCs w:val="28"/>
        </w:rPr>
        <w:t>2</w:t>
      </w: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C2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бюджетных средств Чагодощенского муниципального округа— </w:t>
      </w:r>
      <w:r w:rsidRPr="00EA4C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A4C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</w:t>
      </w:r>
      <w:proofErr w:type="gramEnd"/>
      <w:r w:rsidRPr="00EA4C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рвомайское территориальное управление администрации Чагодощенского муниципального округа Вологодской области </w:t>
      </w:r>
      <w:r w:rsidRPr="00EA4C2B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80B16" w:rsidRPr="00EA4C2B" w:rsidRDefault="00C80B16" w:rsidP="00C80B16">
      <w:pPr>
        <w:pStyle w:val="a3"/>
        <w:numPr>
          <w:ilvl w:val="0"/>
          <w:numId w:val="1"/>
        </w:num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C2B">
        <w:rPr>
          <w:rFonts w:ascii="Times New Roman" w:hAnsi="Times New Roman" w:cs="Times New Roman"/>
          <w:sz w:val="28"/>
          <w:szCs w:val="28"/>
        </w:rPr>
        <w:t>п. Чагода</w:t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  <w:t xml:space="preserve">   «</w:t>
      </w:r>
      <w:r w:rsidR="00B10580">
        <w:rPr>
          <w:rFonts w:ascii="Times New Roman" w:hAnsi="Times New Roman" w:cs="Times New Roman"/>
          <w:sz w:val="28"/>
          <w:szCs w:val="28"/>
        </w:rPr>
        <w:t>29</w:t>
      </w:r>
      <w:r w:rsidRPr="00EA4C2B">
        <w:rPr>
          <w:rFonts w:ascii="Times New Roman" w:hAnsi="Times New Roman" w:cs="Times New Roman"/>
          <w:sz w:val="28"/>
          <w:szCs w:val="28"/>
        </w:rPr>
        <w:t xml:space="preserve">» марта 2024 года                                                                              </w:t>
      </w: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B16" w:rsidRPr="00C80B16" w:rsidRDefault="00C80B16" w:rsidP="00C80B16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C80B16">
        <w:rPr>
          <w:rFonts w:ascii="Times New Roman" w:hAnsi="Times New Roman" w:cs="Times New Roman"/>
          <w:color w:val="000000"/>
          <w:sz w:val="28"/>
          <w:szCs w:val="28"/>
        </w:rPr>
        <w:t>Внешняя проверка бюджетной отчетности главного администратора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бюджетных средств –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Первомайское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(далее – </w:t>
      </w:r>
      <w:r>
        <w:rPr>
          <w:rFonts w:ascii="TimesNewRomanPSMT" w:hAnsi="TimesNewRomanPSMT"/>
          <w:color w:val="000000"/>
          <w:sz w:val="28"/>
          <w:szCs w:val="28"/>
        </w:rPr>
        <w:t>Первомайское ТУ</w:t>
      </w:r>
      <w:r w:rsidRPr="00C80B16">
        <w:rPr>
          <w:rFonts w:ascii="TimesNewRomanPSMT" w:hAnsi="TimesNewRomanPSMT"/>
          <w:color w:val="000000"/>
          <w:sz w:val="28"/>
          <w:szCs w:val="28"/>
        </w:rPr>
        <w:t>) проведена на основании ст.264.4Бюджетного кодекса Российской Федерации (далее - БК РФ), Федерального</w:t>
      </w:r>
      <w:r w:rsidR="00CB2A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закона от 07.02.2011 № 6-ФЗ «Об общих принципах организации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деятельности контрольно-счетных органов субъектов Российской </w:t>
      </w:r>
      <w:proofErr w:type="spellStart"/>
      <w:r w:rsidRPr="00C80B16">
        <w:rPr>
          <w:rFonts w:ascii="TimesNewRomanPSMT" w:hAnsi="TimesNewRomanPSMT"/>
          <w:color w:val="000000"/>
          <w:sz w:val="28"/>
          <w:szCs w:val="28"/>
        </w:rPr>
        <w:t>Федерациии</w:t>
      </w:r>
      <w:proofErr w:type="spell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муниципальных образований», Положения о контрольно-счетной комиссии Чагодощенского муниципального</w:t>
      </w:r>
      <w:proofErr w:type="gram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округа Вологодской области, утвержденного Представительным Собранием Чагодощенского муниципального округа</w:t>
      </w:r>
      <w:r w:rsidR="00017D8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от 27.10.2022 № 29, Плана работы контрольно-счетной комиссии на 2024 год.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B16">
        <w:rPr>
          <w:rFonts w:ascii="Times New Roman" w:hAnsi="Times New Roman" w:cs="Times New Roman"/>
          <w:sz w:val="28"/>
          <w:szCs w:val="28"/>
        </w:rPr>
        <w:t>Настоящее заключение подготовлено в соответствии с СВМФК</w:t>
      </w:r>
      <w:proofErr w:type="gramStart"/>
      <w:r w:rsidRPr="00C80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0B16">
        <w:rPr>
          <w:rFonts w:ascii="Times New Roman" w:hAnsi="Times New Roman" w:cs="Times New Roman"/>
          <w:sz w:val="28"/>
          <w:szCs w:val="28"/>
        </w:rPr>
        <w:br/>
      </w:r>
      <w:r w:rsidRPr="00C80B16">
        <w:rPr>
          <w:rFonts w:ascii="Times New Roman" w:eastAsia="Calibri" w:hAnsi="Times New Roman" w:cs="Times New Roman"/>
          <w:sz w:val="28"/>
          <w:szCs w:val="28"/>
        </w:rPr>
        <w:t>«Проведение экспертно - аналитического мероприятия», утвержденным приказом контрольно - счетной комиссии от 09.01.2023 № 15 о/</w:t>
      </w:r>
      <w:proofErr w:type="spellStart"/>
      <w:r w:rsidRPr="00C80B1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80B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0B16">
        <w:rPr>
          <w:rFonts w:ascii="Times New Roman" w:hAnsi="Times New Roman" w:cs="Times New Roman"/>
          <w:sz w:val="28"/>
          <w:szCs w:val="28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B16">
        <w:rPr>
          <w:rFonts w:ascii="Times New Roman" w:hAnsi="Times New Roman" w:cs="Times New Roman"/>
          <w:color w:val="000000"/>
          <w:sz w:val="28"/>
          <w:szCs w:val="28"/>
        </w:rPr>
        <w:t>В ходе внешней проверки проанализированы нормативные правовые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>акты, регулирующие бюджетную отчетность, а также бюджетная отчетность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главного администратора бюджетных средств –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Первомайского ТУ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за 2023 год.</w:t>
      </w:r>
    </w:p>
    <w:p w:rsidR="00C80B16" w:rsidRDefault="00C80B16" w:rsidP="00C80B16">
      <w:pPr>
        <w:pStyle w:val="a3"/>
        <w:numPr>
          <w:ilvl w:val="0"/>
          <w:numId w:val="1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16">
        <w:rPr>
          <w:rFonts w:ascii="TimesNewRomanPSMT" w:hAnsi="TimesNewRomanPSMT"/>
          <w:color w:val="000000"/>
          <w:sz w:val="28"/>
          <w:szCs w:val="28"/>
        </w:rPr>
        <w:t>В ходе экспертно-аналитического мероприятия установлено следующее.</w:t>
      </w:r>
    </w:p>
    <w:p w:rsidR="00C80B16" w:rsidRPr="00C80B16" w:rsidRDefault="00C80B16" w:rsidP="00C80B16">
      <w:pPr>
        <w:spacing w:before="120" w:after="12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1. Общие положения (Своевременность, достоверность, полнота бюджетной</w:t>
      </w:r>
      <w:r w:rsidR="00EE34D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отчетности).</w:t>
      </w:r>
    </w:p>
    <w:p w:rsidR="00C80B16" w:rsidRPr="00C80B16" w:rsidRDefault="00C80B16" w:rsidP="00C8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 CYR" w:eastAsia="Times New Roman" w:hAnsi="Times New Roman CYR" w:cs="Times New Roman CYR"/>
          <w:sz w:val="28"/>
          <w:szCs w:val="28"/>
        </w:rPr>
        <w:t>Бюджетная отчетность поступила в контрольно-счетную комиссию 0</w:t>
      </w:r>
      <w:r w:rsidR="00EE34D9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2024 года, что соответствует сроку представления годовой бюджетной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отчетности, установленному решением Представительно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Собрани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 xml:space="preserve">я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C80B16">
        <w:rPr>
          <w:rFonts w:ascii="Times New Roman CYR" w:eastAsia="Times New Roman" w:hAnsi="Times New Roman CYR" w:cs="Times New Roman CYR"/>
          <w:sz w:val="28"/>
          <w:szCs w:val="28"/>
        </w:rPr>
        <w:t>Чагодощенском</w:t>
      </w:r>
      <w:proofErr w:type="spellEnd"/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80B16" w:rsidRPr="005707E3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Годовая бюджетная отчетность главного администратора бюджетных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средств за 2023 год содержит все требуемые Инструкцией № 191н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формы: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аланс главного распорядителя, распорядителя, получателя бюджетных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средств, главного администратора, администратора источников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финансирования дефицита бюджета,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доходов бюджета (ф.0503130);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заключению счетов бюджетного учета отчетного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финансового года (ф.0503110);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финансовых результатах деятельности (ф.0503121);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движении денежных средств (ф.0503123);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консолидируемым расчетам» (ф.0503125);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об исполнении бюджета главного распорядителя,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распорядителя, получателя бюджетных средств,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источников финансирования дефицита бюджета, главного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администратора, администратора доходов бюджета (ф.0503127);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бюджетных обязательствах (ф.0503128);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Пояснительная записка (ф.0503160) с таблицами и приложениям: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-таблицы №14 «Сведения о проведении инвентаризаций»;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-таблица №15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5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бюджета (ф.0503164);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движении нефинансовых активов (ф.0503168);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дебиторской и кредиторской задолженности (ф.0503169);</w:t>
      </w:r>
    </w:p>
    <w:p w:rsidR="008E47B5" w:rsidRPr="00017D89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017D89" w:rsidRPr="005707E3" w:rsidRDefault="00017D89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изменении остатков валюты баланса (ф.0503173);</w:t>
      </w:r>
    </w:p>
    <w:p w:rsidR="005707E3" w:rsidRPr="008E47B5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принятых и неисполненных обязательствах получателя бюджетных средст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в(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ф.0503175);</w:t>
      </w:r>
    </w:p>
    <w:p w:rsidR="008E47B5" w:rsidRPr="00C80B16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судебных решений по денежным обязательствам (ф.0503296);</w:t>
      </w:r>
    </w:p>
    <w:p w:rsidR="00C80B16" w:rsidRPr="00C80B16" w:rsidRDefault="00C80B16" w:rsidP="00C80B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01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Текстовая информация, 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Состав и содержание бюджетной отчетности в целом соответствуют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установленным требованиям.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Бюджетный учет ведется в соответствии с Приказом Минфина РФ от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01.12.2010 № 157н «Об утверждении Единого плана счетов бухгалтерского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учета для органов государственной власти (государственных органов),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органов местного самоуправления, органов управления государственными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C80B16">
        <w:rPr>
          <w:rFonts w:ascii="Times New Roman" w:eastAsia="Times New Roman" w:hAnsi="Times New Roman" w:cs="Times New Roman"/>
          <w:sz w:val="24"/>
          <w:szCs w:val="24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(муниципальных) учреждений и Инструкции по его применению» 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Приказом Минфина РФ от 06.12.2010 № 162н «Об утверждении Плана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счетов бюджетного учета и Инструкции по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его применению».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Бюджетный учет ведется с применением программы АС «Смета» (ЕЦИС).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Бюджетная отчетность составлена: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 основе данных Главной книги и регистров бюджетного учета;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-нарастающим итогом с начала года;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-числовые показатели выражены в рублях с точностью до второго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десятичного знака после запятой;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-показатели, имеющие отрицательное значение, отражаются со знако</w:t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м«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минус»;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-не содержит подчисток и помарок.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80B1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Pr="00C80B16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от 22</w:t>
      </w:r>
      <w:r w:rsidRPr="00C80B1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.12.2022 №</w:t>
      </w:r>
      <w:r w:rsidR="00017D89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4</w:t>
      </w:r>
      <w:r w:rsidRPr="00C80B1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/23 </w:t>
      </w:r>
      <w:r w:rsidRPr="00C80B16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осуществляет </w:t>
      </w:r>
      <w:r w:rsidRPr="00C80B1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</w:t>
      </w:r>
      <w:r w:rsidR="009130F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C80B1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(далее – МКУ «Центр обеспечения»).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начальник Первомайского территориального управления администрации 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Чагодощенского муниципального округа – 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Абраменков В.В.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директор МКУ «Центр обеспечения» Евдокимова С.Н.,  главный бухгалтер – Орлова А.А.</w:t>
      </w:r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Формы бюджетной отчетности,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spacing w:val="-2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Перед формированием годовой бюджетной отчетности всё имущество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Первомайского ТУ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учете»№ 402), п.7 Инструкции № 191н, подлежат инвентаризации. Инвентаризация имущества финансовых средств и обязательств </w:t>
      </w:r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Первомайского ТУ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проведена </w:t>
      </w:r>
      <w:proofErr w:type="gramStart"/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согласно 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решения</w:t>
      </w:r>
      <w:proofErr w:type="gramEnd"/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 проведении инвентаризации № 1 от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1.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11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.2023. Расхождений</w:t>
      </w:r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выявлено. </w:t>
      </w:r>
      <w:r w:rsidRPr="004148EB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 соответствии с пунктом 158 Инструкции №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191н ввиду отсутствия расхождений по результатам инвентаризации, таблица № 6 «Сведения о проведении инвентаризации» не представлена, информация о факте проведения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lastRenderedPageBreak/>
        <w:t>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2B5157" w:rsidRPr="002B5157" w:rsidRDefault="002B5157" w:rsidP="002B5157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2B51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2. Организационный раздел</w:t>
      </w:r>
    </w:p>
    <w:p w:rsidR="002B5157" w:rsidRDefault="002B5157" w:rsidP="002B5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Первомайское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Чагодощенского муниципального округа Вологодской области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т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ерриториальным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области, созданным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решения вопросов местного значения муниципального округа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подведомственной территории Чагодощенского муниципального округа,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 полномочий по осуществлению отдельных государственных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полномочий, переданных органу местного самоуправления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федеральными законами и областными законами Вологодской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области.</w:t>
      </w:r>
    </w:p>
    <w:p w:rsidR="00CE12F8" w:rsidRDefault="002B5157" w:rsidP="00CE12F8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09DD">
        <w:rPr>
          <w:rFonts w:ascii="Times New Roman" w:hAnsi="Times New Roman" w:cs="Times New Roman"/>
          <w:bCs/>
          <w:sz w:val="28"/>
          <w:szCs w:val="28"/>
        </w:rPr>
        <w:t>Первомайское ТУ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</w:t>
      </w:r>
      <w:r w:rsidR="004209DD" w:rsidRPr="004209DD">
        <w:rPr>
          <w:rFonts w:ascii="Times New Roman" w:hAnsi="Times New Roman" w:cs="Times New Roman"/>
          <w:sz w:val="28"/>
          <w:szCs w:val="28"/>
        </w:rPr>
        <w:t xml:space="preserve"> </w:t>
      </w:r>
      <w:r w:rsidR="004209DD"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осуществления исполнительно- распорядительных</w:t>
      </w:r>
      <w:r w:rsidRPr="004209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функций на подведомственной территории  Чагодощенского муниципального округа в пределах административных границ Первомайского сельсовета в соответствии с реестром административно-территориальных утвержденным постановлением Правительства Вологодской области от 01.03.2010 № 17</w:t>
      </w:r>
      <w:r w:rsidR="004209DD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4209DD" w:rsidRPr="004209DD" w:rsidRDefault="004209DD" w:rsidP="00CE12F8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DD">
        <w:rPr>
          <w:rFonts w:ascii="Times New Roman" w:hAnsi="Times New Roman" w:cs="Times New Roman"/>
          <w:bCs/>
          <w:sz w:val="28"/>
          <w:szCs w:val="28"/>
        </w:rPr>
        <w:t>Первомайское ТУ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путем реорганизации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Первомайского 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  Чагодощенского муниципального района</w:t>
      </w:r>
      <w:r w:rsidRPr="004209DD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2F8">
        <w:rPr>
          <w:rFonts w:ascii="Times New Roman" w:hAnsi="Times New Roman" w:cs="Times New Roman"/>
          <w:sz w:val="28"/>
          <w:szCs w:val="28"/>
        </w:rPr>
        <w:t xml:space="preserve">его 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правопреемником </w:t>
      </w:r>
      <w:r w:rsidRPr="004209DD">
        <w:rPr>
          <w:rFonts w:ascii="Times New Roman" w:hAnsi="Times New Roman" w:cs="Times New Roman"/>
          <w:sz w:val="28"/>
          <w:szCs w:val="28"/>
        </w:rPr>
        <w:t>(решение Представительного Собрания Чагодощенского муниципального округа Вологодской области от 08.12.2022 № 54  «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>О реорганизации органов местного самоуправления Чагодощенского муниципального района, администраций городских и сельских поселений Чагодощенского муниципального района</w:t>
      </w:r>
      <w:r w:rsidR="00CE12F8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157" w:rsidRPr="002B5157" w:rsidRDefault="002B5157" w:rsidP="00CE12F8">
      <w:pPr>
        <w:widowControl w:val="0"/>
        <w:spacing w:after="0"/>
        <w:ind w:firstLine="57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Первомайское ТУ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зарегистрировано как юридическое лицо в Межрайонной инспекции Федеральной налоговой службы №7 по Вологодской области 1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.1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.2022 года. </w:t>
      </w:r>
    </w:p>
    <w:p w:rsidR="002B5157" w:rsidRPr="002B5157" w:rsidRDefault="002B5157" w:rsidP="002B5157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ИНН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3522004891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КПП  352201001  ОГРН  1223500013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692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2B5157" w:rsidRPr="002B5157" w:rsidRDefault="002B5157" w:rsidP="002B515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ab/>
      </w:r>
      <w:r w:rsidRPr="003A3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Первомайское ТУ 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2B5157" w:rsidRDefault="002B5157" w:rsidP="002B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Первомайское ТУ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одно подведомственное учреждение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Первомайский дом культуры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финансовое обеспечение которого осуществляется путем предоставления субсидий на возмещение нормативных затрат.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A4C2B" w:rsidRDefault="00EA4C2B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CE12F8" w:rsidRPr="00CE12F8" w:rsidRDefault="00CE12F8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lastRenderedPageBreak/>
        <w:t>3.Анализ форм бюджетной отчетности.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На данном этапе проведена проверка соблюдения контрольных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соотношений между показателями форм отчетности для установления ее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достоверности.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Проверка достоверности показателей бюджетной отчетности осуществлялась путем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сопоставления с данными Главной книги.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ab/>
        <w:t xml:space="preserve">Представленный 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Баланс главного распорядителя, распорядителя,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получателя бюджетных средств, главного администратора,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 источников финансирования дефицита бюджета,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главного администратора, администратора доходов бюджета (ф. 0503130)</w:t>
      </w:r>
      <w:r w:rsidR="0028450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сформирован с учетом проведенных при завершении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заключительных оборотов по счетам.</w:t>
      </w:r>
    </w:p>
    <w:p w:rsidR="00CE12F8" w:rsidRDefault="0028450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  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По данным Баланса ф. 0503130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Первомайского ТУ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валюта Баланса на начало отчетного периода составляла </w:t>
      </w:r>
      <w:r w:rsidR="006B45AD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2823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,4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тыс</w:t>
      </w:r>
      <w:proofErr w:type="gramStart"/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</w:t>
      </w:r>
      <w:proofErr w:type="gramEnd"/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уб. На конец отчетного периода валюта Баланса снизилась на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646</w:t>
      </w:r>
      <w:r w:rsidR="006B45AD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,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</w:t>
      </w:r>
      <w:r w:rsidR="002902D1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руб. и составила </w:t>
      </w:r>
      <w:r w:rsidR="006B45AD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2177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,3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 </w:t>
      </w:r>
    </w:p>
    <w:p w:rsidR="00CE12F8" w:rsidRPr="00CE12F8" w:rsidRDefault="00CE12F8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Пунктом 14 Инструкции №191н установлено, что в графе «На начало года» 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вступительного баланса, отраженных в Сведениях об изменении остатков валюты баланса (форма 0503173).</w:t>
      </w:r>
      <w:proofErr w:type="gramEnd"/>
    </w:p>
    <w:p w:rsidR="00CE12F8" w:rsidRDefault="00CE12F8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соответствии с пунктом 14 Инструкции № 191н данные в графе «На начало года» Баланса (форма 0503130) представлены с учетом изменений показателей вступительного баланса, что отражено в Сведениях об изменении остатков валюты баланса (ф. 0503173).</w:t>
      </w:r>
    </w:p>
    <w:p w:rsidR="000419EF" w:rsidRDefault="000419EF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Валюта вступительного баланса Первомайского ТУ на начало финансового 2023 года и на конец предыдущего 2022 года изменилась в связи с мероприятиями по реорганизации. Форма 0503173 прилагается. В соответствии с положениями пункта 170 Инструкции № 191н изменение показателей в форм</w:t>
      </w:r>
      <w:r w:rsidR="0083385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е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0503193 отражено по коду причин «01-Реарганизация»</w:t>
      </w:r>
    </w:p>
    <w:p w:rsidR="00CE12F8" w:rsidRPr="00E23D77" w:rsidRDefault="00CF3A8F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 сопоставлении данных Баланса ф. 0503130 с остатками по формам 0503168, 0503169</w:t>
      </w:r>
      <w:r w:rsidR="00F0398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,0503171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расхождений не установ</w:t>
      </w:r>
      <w:r w:rsidR="00CE12F8" w:rsidRPr="00E23D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лено.</w:t>
      </w:r>
    </w:p>
    <w:p w:rsidR="00CE12F8" w:rsidRPr="00686239" w:rsidRDefault="00CF3A8F" w:rsidP="004774E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</w:t>
      </w:r>
      <w:r w:rsidR="00CE12F8"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Размер нефинансовых активов подтверждаются</w:t>
      </w:r>
      <w:r w:rsidR="00CE12F8" w:rsidRPr="0068623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данными ф. 0503168 «Сведениями о движении нефинансовых активов» и 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ф.0504072 «Главная книга».</w:t>
      </w:r>
    </w:p>
    <w:p w:rsidR="00CE12F8" w:rsidRPr="00686239" w:rsidRDefault="00CE12F8" w:rsidP="004774E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выплатам на конец отчетного периода,</w:t>
      </w:r>
      <w:r w:rsidR="00CF3A8F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отраженная по строке 260 Баланса ф. 0503130 получателя бюджетных сре</w:t>
      </w:r>
      <w:proofErr w:type="gramStart"/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 в</w:t>
      </w:r>
      <w:r w:rsidR="00CF3A8F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умме </w:t>
      </w:r>
      <w:r w:rsidR="00686239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59</w:t>
      </w:r>
      <w:r w:rsidR="000320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686239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</w:t>
      </w:r>
      <w:r w:rsidR="000320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соответствует данным счетов </w:t>
      </w:r>
      <w:r w:rsidR="00BC3B0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120600000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ф.0503169, ф.0504072 «Главная книга».</w:t>
      </w:r>
    </w:p>
    <w:p w:rsidR="00CE12F8" w:rsidRPr="00686239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Кредиторская задолженнос</w:t>
      </w:r>
      <w:r w:rsid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ть </w:t>
      </w:r>
      <w:r w:rsidR="00686239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составила </w:t>
      </w:r>
      <w:r w:rsidR="00686239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,9 тыс.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что соответствует данным счетов 130200000</w:t>
      </w:r>
      <w:r w:rsidR="00311E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 0503169, ф.0504072 «Главная книга»</w:t>
      </w:r>
      <w:r w:rsid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Согласно Баланса ф. 0503130 финансовый результат получателя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бюджетных средств составил </w:t>
      </w:r>
      <w:r w:rsidR="001A1C60"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2127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1A1C60"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что соответствует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остатку по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счету 140130 «Финансовый результат прошлых отчетных периодов» Главной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книги ф.0504072 в сумме  </w:t>
      </w:r>
      <w:r w:rsidR="001A1C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2127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1A1C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1A1C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A36A02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составе Баланса (ф. 0503130) получателем бюджетных сре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сф</w:t>
      </w:r>
      <w:proofErr w:type="gram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ормирована Справка о наличии имущества и обязательств, отраженных на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забалансовых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счетах.</w:t>
      </w:r>
      <w:r w:rsid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данным Справки по </w:t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</w:t>
      </w:r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01 </w:t>
      </w:r>
      <w:r w:rsidR="00F63B56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Имущество, полученное в пользование</w:t>
      </w:r>
      <w:r w:rsidR="00F63B56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сумме 41077,9 тыс</w:t>
      </w:r>
      <w:proofErr w:type="gramStart"/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уб., </w:t>
      </w:r>
      <w:proofErr w:type="spellStart"/>
      <w:r w:rsidR="00F63B56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 счету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21 «Основные средства в эксплуатации» отражены в сумме </w:t>
      </w:r>
      <w:r w:rsid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390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,4 тыс.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CE12F8" w:rsidP="00ED555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Справка по заключению счетов бюджетного учета отчетного</w:t>
      </w: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финансового года (ф.0503110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) отражает обороты, образовавшиеся в ходе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исполнения бюджета по счетам бюджетного учета, подлежащим закрытию по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завершении отчетного финансового года в разрезе бюджетной деятельности.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Проверкой полноты закрытия счетов бюджетного учета, нарушений не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выявлено. Данные справки по заключению счетов бюджетного учета отчетного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(ф. 0503110) в части заключительных записей по счету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140130000 соответствуют данным отчета «О финансовых результатах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деятельности» (ф. 0503121) в части расходов и доходов.</w:t>
      </w:r>
    </w:p>
    <w:p w:rsid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 финансовых результатах деятельности (ф. 0503121)</w:t>
      </w:r>
      <w:r w:rsidR="004774E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данные о финансовых результатах его деятельности в разрезе кодов КОСГУ по состоянию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01.01.2024 г. В отчете отражены показатели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разрезе бюджетной деятельности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(графа 4)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.  </w:t>
      </w:r>
    </w:p>
    <w:p w:rsidR="00F0398E" w:rsidRPr="00CE12F8" w:rsidRDefault="00F0398E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состоянию на 01.01.2024г. доходы по бюджетной деятельности главного администратора доходов составила </w:t>
      </w:r>
      <w:r w:rsidR="009C3FDE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</w:t>
      </w:r>
      <w:r w:rsidR="00DF175D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331,7</w:t>
      </w:r>
      <w:r w:rsidR="004774E9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003FDE" w:rsidRDefault="00CE12F8" w:rsidP="00C4027D">
      <w:pPr>
        <w:spacing w:after="0" w:line="240" w:lineRule="auto"/>
        <w:jc w:val="both"/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13765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из них оплата труда и начисления на выплаты по оплате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труда –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2761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,3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оплата работ, услуг –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64</w:t>
      </w:r>
      <w:r w:rsidR="00E17B6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10,6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безвозмездные перечисления организациям -  3409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социальное обеспечение–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358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расходы по операциям с активами -802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прочие расходы 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(штрафы)- 22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,5 тыс.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C4027D" w:rsidRPr="00C4027D">
        <w:t xml:space="preserve"> </w:t>
      </w:r>
    </w:p>
    <w:p w:rsidR="00CE12F8" w:rsidRPr="00B56464" w:rsidRDefault="00CE12F8" w:rsidP="00D96E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результате бюджетной деятельности чистый операционный результат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составил «минус» </w:t>
      </w:r>
      <w:r w:rsidR="00B4032D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14075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B4032D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нефинансовыми активами - «минус» </w:t>
      </w:r>
      <w:r w:rsidR="00B4032D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370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B4032D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8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финансовыми активами - «минус»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13704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обязательствами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</w:t>
      </w:r>
      <w:proofErr w:type="spellEnd"/>
    </w:p>
    <w:p w:rsidR="00CE12F8" w:rsidRP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Отчет о движении денежных средств (ф. 0503123) </w:t>
      </w:r>
      <w:r w:rsidR="00B646FF" w:rsidRPr="00B56464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Первомайского ТУ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сведения о движении денежных средств на счетах в рублях, открытых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</w:t>
      </w:r>
      <w:r w:rsid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подразделениях Банка России, в кредитных организациях, органах,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осуществляющих кассовое обслуживание исполнения бюджета, в том числе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средства во временном распоряжении.</w:t>
      </w:r>
    </w:p>
    <w:p w:rsidR="00CE12F8" w:rsidRPr="0062447C" w:rsidRDefault="00CE12F8" w:rsidP="001B4DB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Согласно отчета ф. 0503123 поступлений за 2023 год </w:t>
      </w:r>
      <w:r w:rsidR="00B646FF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составили 5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,2 тыс.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1B4DB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том числе по текущим операциям 5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,2 тыс.</w:t>
      </w:r>
      <w:r w:rsidR="001B4DB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Выбытия в 2023 году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 xml:space="preserve">составили 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13427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выбытия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текущим операциям –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13247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,1 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выбытия по 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инвестиционным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операциям –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180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,6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</w:t>
      </w:r>
    </w:p>
    <w:p w:rsidR="00EC1572" w:rsidRDefault="0062447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    </w:t>
      </w:r>
      <w:r w:rsidR="00CE12F8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аналитической информации по выбытиям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раздела 4 ф. 0503123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расходы составляют </w:t>
      </w:r>
      <w:r w:rsidR="000B56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13427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0B56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что соответствует информации раздела 2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«Расходы бюджета» по графе 9 ф. 0503127 в разрезе подразделов бюджетной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классификации.</w:t>
      </w:r>
      <w:r w:rsid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CE12F8" w:rsidRPr="0062447C" w:rsidRDefault="00CE12F8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Поступления и выбытия отчета ф. 0503123 соответствуют доходам и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расходам бюджета, отраженным в Отчете об исполнении бюджета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распорядителя, распорядителя, получателя бюджетных средств,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бюджета, главного администратора, администратора доходов бюджета (ф.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0503127).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          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об исполнении бюджета главного распорядителя,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распорядителя, получателя бюджетных средств, главного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бюджета, главного администратора, администратора доходов бюджета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(ф. 0503127)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составлен на основании данных по исполнению бюджета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получателей бюджетных средств, в рамках осуществляемой ими бюджетной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деятельности.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Утвержденные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назначения, отраженные в отчете об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исполнении бюджета (ф. 0503127) по доходам и расходам соответствуют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уточненным плановым назначениям, утвержденным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решением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Собрания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от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22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.12.2022 г. №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61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«О бюджете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Чагодощенского муниципального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округа на 2023 год и плановый период 2024 и 2025 годов» (с изменениями и дополнениями).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Применение кодов бюджетной классификации соответствует порядку,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установленному Приказом от </w:t>
      </w:r>
      <w:r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24.05.2022 г. №82н «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 Порядке формирования и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применения кодов бюджетной классификации РФ, их структуре и принципах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назначения» (далее - Приказ № 82н).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Доходы </w:t>
      </w:r>
      <w:r w:rsidR="00921066"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Первомайского ТУ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главного администратора доходов  бюджета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</w:t>
      </w:r>
      <w:r w:rsidR="00921066"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ены в сумме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,7 тыс.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9777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, исполнение </w:t>
      </w:r>
      <w:r w:rsidR="002758C7" w:rsidRP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доходной части составило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5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,2 тыс.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112 %. </w:t>
      </w:r>
    </w:p>
    <w:p w:rsidR="00AB6EAE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Первомайского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утверждены в сумме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14193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Исполнение расходной части бюджета за 2023 год составило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13427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94,7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  <w:r w:rsidR="0076653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B6E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Не исполнение бюджетных назначений  произошло в результате   оплаты контрактов со сроком окончания 31.12.2023г., не освоения запланированных средств по газификации в связи с неблагоприятными погодными условиями </w:t>
      </w:r>
      <w:r w:rsidR="008F219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="000074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          </w:t>
      </w:r>
      <w:r w:rsidR="008F219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="00AB6E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(работы будут продолжены в 2024году), а также оптимизацией расходов по разделу благоустройство</w:t>
      </w:r>
      <w:proofErr w:type="gramEnd"/>
      <w:r w:rsidR="00AB6E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и  составила 2123,7 тыс</w:t>
      </w:r>
      <w:proofErr w:type="gramStart"/>
      <w:r w:rsidR="00AB6E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AB6E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 </w:t>
      </w:r>
    </w:p>
    <w:p w:rsidR="00CE12F8" w:rsidRPr="00CE12F8" w:rsidRDefault="00EA4C2B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расходы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Первомайского ТУ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приходится </w:t>
      </w:r>
      <w:r w:rsidR="00FD279C" w:rsidRPr="00906105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1,4</w:t>
      </w:r>
      <w:r w:rsidR="00CE12F8" w:rsidRPr="00906105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% общего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объема расходов бюджета округа.</w:t>
      </w:r>
    </w:p>
    <w:p w:rsidR="00CF6598" w:rsidRDefault="002758C7" w:rsidP="000074F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     </w:t>
      </w:r>
      <w:r w:rsidR="00CE12F8"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>Отчет о принятых бюджетных обязательствах (ф. 0503128)</w:t>
      </w: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составлен на основании данных о принятии и исполнении получателями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lastRenderedPageBreak/>
        <w:t>бюджетных средств бюджетных обязательств в рамках осуществляемой ими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бюджетной деятельности. Показатели граф 4, 5 и 10 разделов «Бюджетные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обязательства текущего (отчетного) финансового года по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расходам», «Бюджетные обязательства текущего (отчетного) финансового года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по выплатам источников финансирования дефицита бюджета» отчета (ф.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0503128) соответствуют показателям граф 4, 5 и 9 отчета (ф. 0503127).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Согласно отчетным данным по ф. 0503128 по состоянию на 01.01.2024 г.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превышение принятых бюджетных и денежных обязательств над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утвержденными на 2023 год лимитами бюджетных обязательств не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установлено.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соответствии со ст.219 БК РФ, бюджетные обязательства принимались 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пределах доведенных лимитов бюджетных обязательств, а именно принято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бюджетных обязательств на сумму</w:t>
      </w:r>
      <w:r w:rsidR="00863B73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A36A02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14193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A36A02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9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</w:t>
      </w:r>
      <w:proofErr w:type="gramEnd"/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уб., из них с применением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конкурентных способов </w:t>
      </w:r>
      <w:r w:rsidR="00A36A02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3429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A36A02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9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руб.</w:t>
      </w:r>
      <w:r w:rsidR="00FA6A26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FA6A26" w:rsidRPr="00FA6A26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A6A26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что подтверждено формой ф.0503175 . </w:t>
      </w:r>
      <w:r w:rsidR="00FA6A26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Экономия в результате применения конкурентных способов 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составила </w:t>
      </w:r>
      <w:r w:rsidR="000F1A51">
        <w:rPr>
          <w:rFonts w:ascii="Times New Roman CYR" w:hAnsi="Times New Roman CYR" w:cs="Times New Roman CYR"/>
          <w:color w:val="000000" w:themeColor="text1"/>
          <w:sz w:val="28"/>
          <w:szCs w:val="28"/>
        </w:rPr>
        <w:t>1452,0 тыс.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руб</w:t>
      </w:r>
      <w:r w:rsidR="00922B73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EA4C2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Н</w:t>
      </w:r>
      <w:r w:rsidR="00EA4C2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еисполненные бюджетные обязательства составили </w:t>
      </w:r>
      <w:r w:rsid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766,3</w:t>
      </w:r>
      <w:r w:rsidR="00EA4C2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тыс.руб</w:t>
      </w:r>
      <w:r w:rsid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CF6598" w:rsidRPr="008C3AF1" w:rsidRDefault="000074FF" w:rsidP="00007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получателями субсидий на выполнение муниципального задания и субсидии на иные цели.</w:t>
      </w:r>
      <w:r w:rsidR="00930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активы, в соответствии с которыми размер участия Управления образования, как учредителя в бюджетных учреждениях составляет   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1111,1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Итоговые суммы финансовых вложений формы 0503171 соответствуют данным баланса (ф. 0503130).</w:t>
      </w:r>
      <w:proofErr w:type="gramEnd"/>
    </w:p>
    <w:p w:rsidR="00CE12F8" w:rsidRPr="00CE12F8" w:rsidRDefault="00175BF2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.Исполнение бюджетных назначений</w:t>
      </w:r>
    </w:p>
    <w:p w:rsidR="00CE12F8" w:rsidRPr="00A10511" w:rsidRDefault="00FA6A26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  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показателей, указанных в годовой бюджетной отчетности за 2023 год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показателям Решения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Представительного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Собрания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муниципального округа от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22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.12.2022 №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61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 2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2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.12.2023 №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91)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«О бюджете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2023 год и на плановый период 2024 и 2025 годов» (далее – решение о бюджете).</w:t>
      </w:r>
      <w:r w:rsidR="00A105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End"/>
    </w:p>
    <w:p w:rsidR="00A10511" w:rsidRDefault="00A10511" w:rsidP="00A1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</w:p>
    <w:p w:rsidR="00A10511" w:rsidRDefault="00175BF2" w:rsidP="00A1051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.1. Результаты проверки и анализа исполнения </w:t>
      </w:r>
      <w:r w:rsidR="00CE12F8" w:rsidRPr="00CE12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бюджета округа</w:t>
      </w:r>
      <w:r w:rsidR="0057497D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  <w:r w:rsidR="00A10511" w:rsidRPr="00A10511">
        <w:rPr>
          <w:rFonts w:ascii="TimesNewRomanPSMT" w:eastAsia="Times New Roman" w:hAnsi="TimesNewRomanPSMT" w:cs="Times New Roman"/>
          <w:color w:val="C00000"/>
          <w:sz w:val="28"/>
          <w:szCs w:val="28"/>
        </w:rPr>
        <w:t xml:space="preserve"> </w:t>
      </w:r>
    </w:p>
    <w:p w:rsidR="00FA6A26" w:rsidRDefault="00FA6A26" w:rsidP="00A1051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</w:p>
    <w:p w:rsidR="00922B73" w:rsidRPr="00922B73" w:rsidRDefault="00922B73" w:rsidP="000F1A51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B73">
        <w:rPr>
          <w:rFonts w:ascii="TimesNewRomanPSMT" w:eastAsia="Times New Roman" w:hAnsi="TimesNewRomanPSMT" w:cs="Times New Roman"/>
          <w:sz w:val="28"/>
          <w:szCs w:val="28"/>
        </w:rPr>
        <w:lastRenderedPageBreak/>
        <w:t>Поста</w:t>
      </w:r>
      <w:r>
        <w:rPr>
          <w:rFonts w:ascii="TimesNewRomanPSMT" w:eastAsia="Times New Roman" w:hAnsi="TimesNewRomanPSMT" w:cs="Times New Roman"/>
          <w:sz w:val="28"/>
          <w:szCs w:val="28"/>
        </w:rPr>
        <w:t>н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>овлен</w:t>
      </w:r>
      <w:r>
        <w:rPr>
          <w:rFonts w:ascii="TimesNewRomanPSMT" w:eastAsia="Times New Roman" w:hAnsi="TimesNewRomanPSMT" w:cs="Times New Roman"/>
          <w:sz w:val="28"/>
          <w:szCs w:val="28"/>
        </w:rPr>
        <w:t>ием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 xml:space="preserve"> администрации Чагодощенского муниципального округа Вологодской области 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8947E0">
        <w:rPr>
          <w:rFonts w:ascii="TimesNewRomanPSMT" w:eastAsia="Times New Roman" w:hAnsi="TimesNewRomanPSMT" w:cs="Times New Roman"/>
          <w:sz w:val="28"/>
          <w:szCs w:val="28"/>
        </w:rPr>
        <w:t xml:space="preserve">№ </w:t>
      </w:r>
      <w:r w:rsidR="008947E0" w:rsidRPr="008947E0">
        <w:rPr>
          <w:rFonts w:ascii="TimesNewRomanPSMT" w:eastAsia="Times New Roman" w:hAnsi="TimesNewRomanPSMT" w:cs="Times New Roman"/>
          <w:sz w:val="28"/>
          <w:szCs w:val="28"/>
        </w:rPr>
        <w:t>397</w:t>
      </w:r>
      <w:r w:rsidRPr="008947E0">
        <w:rPr>
          <w:rFonts w:ascii="TimesNewRomanPSMT" w:eastAsia="Times New Roman" w:hAnsi="TimesNewRomanPSMT" w:cs="Times New Roman"/>
          <w:sz w:val="28"/>
          <w:szCs w:val="28"/>
        </w:rPr>
        <w:t xml:space="preserve">   от  </w:t>
      </w:r>
      <w:r w:rsidR="008947E0" w:rsidRPr="008947E0">
        <w:rPr>
          <w:rFonts w:ascii="TimesNewRomanPSMT" w:eastAsia="Times New Roman" w:hAnsi="TimesNewRomanPSMT" w:cs="Times New Roman"/>
          <w:sz w:val="28"/>
          <w:szCs w:val="28"/>
        </w:rPr>
        <w:t>19.12</w:t>
      </w:r>
      <w:r w:rsidR="008947E0">
        <w:rPr>
          <w:rFonts w:ascii="TimesNewRomanPSMT" w:eastAsia="Times New Roman" w:hAnsi="TimesNewRomanPSMT" w:cs="Times New Roman"/>
          <w:sz w:val="28"/>
          <w:szCs w:val="28"/>
        </w:rPr>
        <w:t>.2022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  </w:t>
      </w:r>
      <w:r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922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Чагодощенского муниципального 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утверждено, что Первомайское ТУ с кодом </w:t>
      </w:r>
      <w:r w:rsidR="008947E0"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главным администратором доходов бюджета Чагодощенского муниципального округа </w:t>
      </w:r>
    </w:p>
    <w:p w:rsidR="00A10511" w:rsidRPr="007B7879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ТУ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>(ф.0503127)  запланированы в сумме 4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,6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 - </w:t>
      </w:r>
      <w:r w:rsidRPr="007B7879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поступления),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>фактически поступило 5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,2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112%. </w:t>
      </w:r>
    </w:p>
    <w:p w:rsidR="00CE12F8" w:rsidRPr="00CE12F8" w:rsidRDefault="00175BF2" w:rsidP="00CE12F8">
      <w:pPr>
        <w:tabs>
          <w:tab w:val="left" w:pos="1134"/>
        </w:tabs>
        <w:suppressAutoHyphens/>
        <w:spacing w:before="120"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.2. Результаты проверки и анализа исполнения бюджета округа по расходам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Решением о бюджете 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Первомайскому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как главному распорядителю  средств  бюджета  </w:t>
      </w:r>
      <w:r w:rsidR="007B78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муниципального округа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предусмотрены  бюджетные  ассигнования  на  2023  год  в  объеме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13972,0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В течение 2023 года общий объем бюджетных ассигнований уменьшился на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1,6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и составил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14193,9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0 тыс. рублей. 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Анализ структуры расходов и уровень исполнения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Первомайским ТУ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 по расходам по разделам, подразделам бюджетной классификации за 2023 год по отношению к бюджетным назначениям сводной бюджетной росписи представлены в таблице:</w:t>
      </w:r>
    </w:p>
    <w:p w:rsidR="00CE12F8" w:rsidRDefault="00CE12F8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7879" w:rsidRPr="00CE12F8" w:rsidRDefault="007B7879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1251"/>
        <w:gridCol w:w="1357"/>
        <w:gridCol w:w="1394"/>
        <w:gridCol w:w="1109"/>
        <w:gridCol w:w="1291"/>
        <w:gridCol w:w="1253"/>
        <w:gridCol w:w="1417"/>
      </w:tblGrid>
      <w:tr w:rsidR="00712A8C" w:rsidRPr="00CE12F8" w:rsidTr="00712A8C">
        <w:trPr>
          <w:trHeight w:val="125"/>
          <w:tblHeader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Раздел, подраздел классификации расходов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Утвержденный  </w:t>
            </w:r>
            <w:r w:rsidR="007807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б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юджет в ред. от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22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.12.2022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61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,</w:t>
            </w:r>
          </w:p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Утвержденный бюджет в ред. от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8.12.2023 №103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,</w:t>
            </w:r>
          </w:p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Отклонение </w:t>
            </w:r>
            <w:proofErr w:type="gramStart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уточненного</w:t>
            </w:r>
            <w:proofErr w:type="gramEnd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от первоначального</w:t>
            </w:r>
          </w:p>
        </w:tc>
        <w:tc>
          <w:tcPr>
            <w:tcW w:w="12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Исполнено  (ф.0503127)тыс. руб.</w:t>
            </w:r>
          </w:p>
        </w:tc>
        <w:tc>
          <w:tcPr>
            <w:tcW w:w="1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Процент исполнения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Удельный вес, 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0100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3176,6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3313,3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136,7</w:t>
            </w:r>
          </w:p>
        </w:tc>
        <w:tc>
          <w:tcPr>
            <w:tcW w:w="12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3297,6</w:t>
            </w:r>
          </w:p>
        </w:tc>
        <w:tc>
          <w:tcPr>
            <w:tcW w:w="1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99,5%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12A8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24,6%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010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3176,6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3258,0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81,4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3242,3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98,0%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24,1%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0113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0,4%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787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0200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78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0,5%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0,5%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0300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250,5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27,8%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1,9%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0310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250,5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27,8%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1,9%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0400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3956,4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4436,2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479,8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4434,9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33,0%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3956,4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4436,2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479,8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4434,9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33,0%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0500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2989,2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1594,9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-1394,3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1507,7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94,5%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11,2%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2989,2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1594,9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-1394,3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1507,7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94,5%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11,2%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0700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-5,0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0707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-5,0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0800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2979,6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3409,6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3409,6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452160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25,4%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0801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2979,6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2979,6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3409,6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3409,6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598,5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363,5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-235,0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350,8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96,5%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2,6%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523,2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288,2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-235,0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286,7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99,5%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2,1%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64,1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85,1%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52160" w:rsidRPr="00CE12F8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0,5%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0,8%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CE12F8" w:rsidRDefault="00210146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0,8%</w:t>
            </w:r>
          </w:p>
        </w:tc>
      </w:tr>
      <w:tr w:rsidR="00712A8C" w:rsidRPr="00CE12F8" w:rsidTr="00712A8C">
        <w:trPr>
          <w:trHeight w:val="251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объем расходов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13972,0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14193,9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4611D9" w:rsidP="004611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221,9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4611D9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13427,6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4611D9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94,6%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</w:tbl>
    <w:p w:rsidR="007B7879" w:rsidRDefault="007B7879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B7879" w:rsidRDefault="007B7879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E3810" w:rsidRDefault="007B7879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textWrapping" w:clear="all"/>
      </w:r>
      <w:r w:rsidR="008E38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</w:p>
    <w:p w:rsidR="00D96E60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Классификация расходов по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Первомайский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представлена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раздел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ами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 </w:t>
      </w:r>
      <w:proofErr w:type="gramStart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которому</w:t>
      </w:r>
      <w:proofErr w:type="gramEnd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года внесены изменения, которые в целом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увеличили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общий объем бюджетных ассигнований на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221,9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0,7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установленных первоначальных значений.</w:t>
      </w:r>
    </w:p>
    <w:p w:rsidR="00E1345F" w:rsidRDefault="00E1345F" w:rsidP="00E1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законодательства. Согласно данным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0503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123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Первомайским ТУ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2023 году произвед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ена 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уплата штрафов, а так же другие экономические санкции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на сумму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1,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7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Осуществление указанных расходов нарушает принцип эффективности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результативности использования бюджетных средств (нарушение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требований ст.34, 162 БК РФ). Данные расходы не являются заданным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результатом деятельности 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Первомайского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расходы на данные нужды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являются неэффективными</w:t>
      </w:r>
    </w:p>
    <w:p w:rsidR="00D96E60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Чагодощенского муниципального 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округа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Первомайским ТУ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расходам в 2023 году составило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13427,6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94,6 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бюджетных назначений, утвержденных решением о бюджете округа и бюджетных  ассигнований, предусмотренных сводной бюджетной росписью. Отклонений сводной бюджетной росписи от плановых назначений, утвержденных решением о бюджете на 2023 год, не установлено.</w:t>
      </w:r>
    </w:p>
    <w:p w:rsidR="00E97E38" w:rsidRDefault="00E97E3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Произведены расходы на реализацию  </w:t>
      </w:r>
      <w:r w:rsidR="006F7DB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рамках </w:t>
      </w:r>
      <w:r w:rsidR="00866A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в сумме </w:t>
      </w:r>
      <w:r w:rsidR="00DF6CE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13427,6 тыс. руб.</w:t>
      </w:r>
      <w:r w:rsidR="00B952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DF6CE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что составляет</w:t>
      </w:r>
      <w:r w:rsidR="00DF6CE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100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</w:t>
      </w:r>
      <w:r w:rsidR="00DF6CE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исполнение бюджета Первомайского ТУ.</w:t>
      </w:r>
    </w:p>
    <w:p w:rsidR="00E97E38" w:rsidRDefault="00E97E3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об исполнении мероприят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рамках 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предоставлены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таблице согласно ф. 05031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</w:p>
    <w:p w:rsidR="00780748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4395"/>
        <w:gridCol w:w="1417"/>
        <w:gridCol w:w="1418"/>
        <w:gridCol w:w="1134"/>
        <w:gridCol w:w="1134"/>
      </w:tblGrid>
      <w:tr w:rsidR="00780748" w:rsidRPr="00CE12F8" w:rsidTr="00780748">
        <w:trPr>
          <w:trHeight w:val="125"/>
          <w:tblHeader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Утвержденные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бюджетные назначений 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Исполнено  (ф.0503127)тыс. </w:t>
            </w:r>
            <w:proofErr w:type="spellStart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Процент исполнения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Удельный вес, %</w:t>
            </w:r>
            <w:r w:rsidR="003A5F8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в общем объеме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МП «Совершенствование муниципального управления в </w:t>
            </w:r>
            <w:proofErr w:type="spellStart"/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Чагодощенском</w:t>
            </w:r>
            <w:proofErr w:type="spellEnd"/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муниципальном округе на 2023-2025годы»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3380,1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3364,3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99,5%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25,0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МП «Обеспечение профилактики правонарушений, безопасности населения и территории Чагодощенского муниципального округа в 2023-2026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250,5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27,38%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1,9%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3A5F86" w:rsidP="003A5F8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 Развитие сети автомобильных дорог местного значения на территории  Чагодощенского муниципального округа в 2023-2025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4436,2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4435,0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«Благоустройство на территории   Чагодощенского муниципального округа в 2023-2025 годы»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1291,2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1204,1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93,3%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9,0%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«Комплексное развитие сельских территорий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303,6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303,6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2,3%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«Сохранение и развитие культурного потенциала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3409,6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3409,6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25,4%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«Социальная поддержка граждан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363,5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350,8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96,5%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2,6%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«Развитие физической культуры и спорта в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109,7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109,7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0,8%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14193,9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13427,6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94,6%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</w:tr>
    </w:tbl>
    <w:p w:rsidR="00780748" w:rsidRPr="001D0D0E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780748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E12F8" w:rsidRPr="00CE12F8" w:rsidRDefault="00B87696" w:rsidP="00CE12F8">
      <w:pPr>
        <w:spacing w:before="120" w:after="12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5.</w:t>
      </w:r>
      <w:r w:rsidR="00CE12F8"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Анализ дебиторской и кредиторской задолженности</w:t>
      </w:r>
    </w:p>
    <w:p w:rsidR="00CE12F8" w:rsidRPr="00CE12F8" w:rsidRDefault="00CE12F8" w:rsidP="00CE12F8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Представленная в составе годовой бюджетной отчетности форма ф.0503169 «Сведения по дебиторской и кредиторской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задолженности» в соответствии с п.167 Инструкции имеет два приложения -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 дебиторской и кредиторской задолженности соответственно.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Аналитические данные этих приложений соответствуют данным баланса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ф.0503130 по соответствующим счетам.</w:t>
      </w:r>
    </w:p>
    <w:p w:rsidR="00CE12F8" w:rsidRPr="00CE12F8" w:rsidRDefault="00CE12F8" w:rsidP="008E3810">
      <w:pPr>
        <w:spacing w:after="12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актива Баланса ф. 0503130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Первомайского ТУ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получателя бюджетных средств на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начало 2023 года составила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 На конец отчетного периода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увеличилась на 4017,9 тыс</w:t>
      </w:r>
      <w:proofErr w:type="gramStart"/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.р</w:t>
      </w:r>
      <w:proofErr w:type="gramEnd"/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ублей и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уменьшилась на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3958,7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 и составила</w:t>
      </w:r>
      <w:r w:rsidR="0057497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59,1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</w:t>
      </w:r>
      <w:r w:rsidR="00613BDE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 по  счету 120600000 расчеты по </w:t>
      </w:r>
      <w:r w:rsidR="00613BDE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выданным авансам</w:t>
      </w:r>
      <w:r w:rsidR="00613BDE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F8736D" w:rsidRPr="00F8736D">
        <w:rPr>
          <w:rFonts w:ascii="Times New Roman" w:hAnsi="Times New Roman" w:cs="Times New Roman"/>
          <w:color w:val="000000"/>
          <w:sz w:val="28"/>
          <w:szCs w:val="28"/>
        </w:rPr>
        <w:t>АО "Газпром" газификация пожарного бокса, продолжение исполнение контракта в 2024 году</w:t>
      </w:r>
      <w:r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. Дебиторская  задолженность Баланса ф.0503130 получателя</w:t>
      </w:r>
      <w:r w:rsidR="004D7565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средств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соответствует</w:t>
      </w:r>
      <w:r w:rsidR="00A927A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Просроченная дебиторская задолженность отсутствует.</w:t>
      </w:r>
    </w:p>
    <w:p w:rsidR="00613BDE" w:rsidRDefault="00CE12F8" w:rsidP="00613BDE">
      <w:pPr>
        <w:spacing w:before="120" w:after="12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Кредиторская задолженность по выплатам (счет 130200000) на начало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2023 года составляла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42,7 тыс</w:t>
      </w:r>
      <w:proofErr w:type="gramStart"/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увеличилась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7,2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 xml:space="preserve">и составила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49,9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613BDE">
        <w:rPr>
          <w:rFonts w:ascii="TimesNewRomanPSMT" w:eastAsia="Times New Roman" w:hAnsi="TimesNewRomanPSMT" w:cs="Times New Roman"/>
          <w:color w:val="000000"/>
          <w:sz w:val="28"/>
          <w:szCs w:val="28"/>
        </w:rPr>
        <w:t>по счету 13020000</w:t>
      </w:r>
      <w:r w:rsidR="009D27D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расчеты по принятым обязательствам.</w:t>
      </w:r>
    </w:p>
    <w:p w:rsidR="00CE12F8" w:rsidRPr="00CE12F8" w:rsidRDefault="00CE12F8" w:rsidP="00F8736D">
      <w:pPr>
        <w:spacing w:before="190" w:after="190"/>
        <w:jc w:val="both"/>
        <w:rPr>
          <w:rFonts w:ascii="TimesNewRomanPSMT" w:eastAsia="Times New Roman" w:hAnsi="TimesNewRomanPSMT" w:cs="Times New Roman"/>
          <w:color w:val="FF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 xml:space="preserve">Кредиторская задолженность по итогам 2023 года сложилась 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0104  (ПАО</w:t>
      </w:r>
      <w:r w:rsidR="0098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" ( услуги связи)-5</w:t>
      </w:r>
      <w:r w:rsidR="008E3810">
        <w:rPr>
          <w:rFonts w:ascii="Times New Roman" w:eastAsia="Times New Roman" w:hAnsi="Times New Roman" w:cs="Times New Roman"/>
          <w:color w:val="000000"/>
          <w:sz w:val="28"/>
          <w:szCs w:val="28"/>
        </w:rPr>
        <w:t>,5 тыс.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; ООО</w:t>
      </w:r>
      <w:proofErr w:type="gramStart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"Ч</w:t>
      </w:r>
      <w:proofErr w:type="gramEnd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истый след" ТКО) -</w:t>
      </w:r>
      <w:r w:rsidR="008E3810">
        <w:rPr>
          <w:rFonts w:ascii="Times New Roman" w:eastAsia="Times New Roman" w:hAnsi="Times New Roman" w:cs="Times New Roman"/>
          <w:color w:val="000000"/>
          <w:sz w:val="28"/>
          <w:szCs w:val="28"/>
        </w:rPr>
        <w:t>0,6 тыс.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).; по разделу 0503 (ООО"Северная сбытовая компания"( организация уличного освещения)-43</w:t>
      </w:r>
      <w:r w:rsidR="008E3810">
        <w:rPr>
          <w:rFonts w:ascii="Times New Roman" w:eastAsia="Times New Roman" w:hAnsi="Times New Roman" w:cs="Times New Roman"/>
          <w:color w:val="000000"/>
          <w:sz w:val="28"/>
          <w:szCs w:val="28"/>
        </w:rPr>
        <w:t>,8 тыс.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Просроченная кредиторская задолженность отсутствует.</w:t>
      </w:r>
    </w:p>
    <w:p w:rsidR="00CE12F8" w:rsidRPr="00CE12F8" w:rsidRDefault="00B87696" w:rsidP="00CE12F8">
      <w:pPr>
        <w:spacing w:before="120" w:after="12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 Выводы:</w:t>
      </w:r>
    </w:p>
    <w:p w:rsidR="00CE12F8" w:rsidRDefault="00CE12F8" w:rsidP="008773C8">
      <w:pPr>
        <w:spacing w:before="120" w:after="12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администратора бюджетных средств –</w:t>
      </w:r>
      <w:r w:rsidR="00690203" w:rsidRPr="0069020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690203" w:rsidRPr="00690203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Первомайского территориального управления администрации Чагодощенского муниципального округа Вологодской области</w:t>
      </w:r>
      <w:r w:rsidRP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оценивались такие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показатели, как своевременность предоставления отчетов, состав, полнота и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достоверность форм бюджетной отчетности, соблюдение единого порядка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составления и заполнения бюджетной отчетности, определенного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требованиями Инструкции № 191н, внутренняя согласованность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соответствующих форм отчетности (соблюдение контрольных соотношений)</w:t>
      </w:r>
      <w:proofErr w:type="gramStart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,с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оответствие плановых показателей, указанных в годовой бюджетной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отчетности за 2023 год, показателям Решения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Собрания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округа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>22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.12.2022 №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="001D0D0E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2</w:t>
      </w:r>
      <w:r w:rsidR="0069020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8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.12.2023 №</w:t>
      </w:r>
      <w:r w:rsidR="0069020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103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«Об утверждении бюджета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 2023 год и на плановый период 2024 и 2025 годов».</w:t>
      </w:r>
    </w:p>
    <w:p w:rsidR="00EA4C2B" w:rsidRPr="00EA4C2B" w:rsidRDefault="00EA4C2B" w:rsidP="00EA4C2B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proofErr w:type="gramStart"/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целом годовая бюджетная отчетность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Первомайского ТУ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 2023 год носит достоверный характер, контрольные соотношения между показателями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отдельных форм годовой бюджетной отчетности соблюдены.</w:t>
      </w:r>
      <w:proofErr w:type="gramEnd"/>
    </w:p>
    <w:p w:rsidR="00EA4C2B" w:rsidRPr="00EA4C2B" w:rsidRDefault="00EA4C2B" w:rsidP="00EA4C2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Уровень исполнения бюджета по доходам за 2023 год составил </w:t>
      </w:r>
      <w:r w:rsidR="00313C70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112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 w:rsidR="00313C70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 xml:space="preserve">5,2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B9527D" w:rsidRDefault="00EA4C2B" w:rsidP="00B9527D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по расходам исполнены в сумме 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13427,6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или на 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94,6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% от</w:t>
      </w: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сводной бюджетной росписи. 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Не исполненные бюджетные назначений составили 2123,7 </w:t>
      </w:r>
      <w:proofErr w:type="spellStart"/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</w:t>
      </w:r>
      <w:proofErr w:type="gramStart"/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</w:t>
      </w:r>
      <w:proofErr w:type="spellEnd"/>
      <w:r w:rsidR="00313C70"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B9527D" w:rsidRPr="00B952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952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Расходы на реализацию  </w:t>
      </w:r>
      <w:r w:rsidR="00866A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8 </w:t>
      </w:r>
      <w:r w:rsidR="00B952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муниципальных программ  составили  13427,6 тыс. руб. или 100 % исполнение бюджета Первомайского ТУ.</w:t>
      </w:r>
    </w:p>
    <w:p w:rsidR="00EA4C2B" w:rsidRPr="00EA4C2B" w:rsidRDefault="00EA4C2B" w:rsidP="00EA4C2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данным бюджетной отчетности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(ф.0503169) на конец отчетного периода составила 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59,1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 руб.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Просроченная дебиторская задолженность отсутствует.</w:t>
      </w:r>
    </w:p>
    <w:p w:rsidR="00EA4C2B" w:rsidRPr="00EA4C2B" w:rsidRDefault="00EA4C2B" w:rsidP="00EA4C2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Кредиторская задолженность учреждения </w:t>
      </w:r>
      <w:proofErr w:type="gramStart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конец</w:t>
      </w:r>
      <w:proofErr w:type="gramEnd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2023 года составила 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49,9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Просроченная кредиторская задолженность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отсутствует.</w:t>
      </w:r>
    </w:p>
    <w:p w:rsidR="00EA4C2B" w:rsidRPr="00EA4C2B" w:rsidRDefault="00EA4C2B" w:rsidP="00EA4C2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Кроме этого, в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ходе проверки ГРБС выявлен факт несоблюдения главным администратором бюджетных средств,</w:t>
      </w:r>
      <w:r w:rsidR="00313C70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принципа эффективности использования бюджетных средств, установленного статьей 34 БК РФ, в части средств,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направленных на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уплату штраф</w:t>
      </w:r>
      <w:r w:rsidR="00313C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ов и других экономических санкций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сумму 1,</w:t>
      </w:r>
      <w:r w:rsidR="00313C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EA4C2B" w:rsidRPr="00EA4C2B" w:rsidRDefault="00EA4C2B" w:rsidP="00EA4C2B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A4C2B" w:rsidRPr="00CE12F8" w:rsidRDefault="00EA4C2B" w:rsidP="00CE12F8">
      <w:pPr>
        <w:spacing w:before="120" w:after="12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CE12F8" w:rsidRPr="00CE12F8" w:rsidRDefault="00CE12F8" w:rsidP="00CE12F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8773C8" w:rsidRDefault="009B493D" w:rsidP="007445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7445F1">
        <w:rPr>
          <w:rFonts w:ascii="Times New Roman CYR" w:hAnsi="Times New Roman CYR" w:cs="Times New Roman CYR"/>
          <w:sz w:val="28"/>
          <w:szCs w:val="28"/>
        </w:rPr>
        <w:t>онтрольно-сч</w:t>
      </w:r>
      <w:r w:rsidR="008773C8">
        <w:rPr>
          <w:rFonts w:ascii="Times New Roman CYR" w:hAnsi="Times New Roman CYR" w:cs="Times New Roman CYR"/>
          <w:sz w:val="28"/>
          <w:szCs w:val="28"/>
        </w:rPr>
        <w:t>етной комиссии</w:t>
      </w:r>
    </w:p>
    <w:p w:rsidR="007445F1" w:rsidRDefault="008773C8" w:rsidP="007445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Чагодощенского муниципального округа</w:t>
      </w:r>
      <w:r w:rsidR="009B493D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9B493D">
        <w:rPr>
          <w:rFonts w:ascii="Times New Roman CYR" w:hAnsi="Times New Roman CYR" w:cs="Times New Roman CYR"/>
          <w:sz w:val="28"/>
          <w:szCs w:val="28"/>
        </w:rPr>
        <w:t>Н.В.Васильева</w:t>
      </w:r>
    </w:p>
    <w:p w:rsidR="007445F1" w:rsidRP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7445F1" w:rsidRPr="007445F1" w:rsidSect="00821C15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45F1"/>
    <w:rsid w:val="000020A5"/>
    <w:rsid w:val="00003FDE"/>
    <w:rsid w:val="000074FF"/>
    <w:rsid w:val="00017D89"/>
    <w:rsid w:val="00032077"/>
    <w:rsid w:val="000344A5"/>
    <w:rsid w:val="00034A79"/>
    <w:rsid w:val="00037471"/>
    <w:rsid w:val="00040FA7"/>
    <w:rsid w:val="000419EF"/>
    <w:rsid w:val="000564D4"/>
    <w:rsid w:val="0006182C"/>
    <w:rsid w:val="00074040"/>
    <w:rsid w:val="00076236"/>
    <w:rsid w:val="00090809"/>
    <w:rsid w:val="0009676E"/>
    <w:rsid w:val="000A14E0"/>
    <w:rsid w:val="000B56E9"/>
    <w:rsid w:val="000C7B31"/>
    <w:rsid w:val="000D032F"/>
    <w:rsid w:val="000E0F4F"/>
    <w:rsid w:val="000F0E38"/>
    <w:rsid w:val="000F1A51"/>
    <w:rsid w:val="000F362B"/>
    <w:rsid w:val="000F6590"/>
    <w:rsid w:val="00103292"/>
    <w:rsid w:val="001525A2"/>
    <w:rsid w:val="00167069"/>
    <w:rsid w:val="00175BF2"/>
    <w:rsid w:val="001770A3"/>
    <w:rsid w:val="00180DC1"/>
    <w:rsid w:val="00185A32"/>
    <w:rsid w:val="00185F25"/>
    <w:rsid w:val="0019030B"/>
    <w:rsid w:val="001A1C60"/>
    <w:rsid w:val="001A3197"/>
    <w:rsid w:val="001B4DB9"/>
    <w:rsid w:val="001D0D0E"/>
    <w:rsid w:val="001F1233"/>
    <w:rsid w:val="00210146"/>
    <w:rsid w:val="0025105A"/>
    <w:rsid w:val="00257C3B"/>
    <w:rsid w:val="00264C28"/>
    <w:rsid w:val="002660C9"/>
    <w:rsid w:val="002758C7"/>
    <w:rsid w:val="0028303F"/>
    <w:rsid w:val="0028450C"/>
    <w:rsid w:val="00284D54"/>
    <w:rsid w:val="002902D1"/>
    <w:rsid w:val="00291C67"/>
    <w:rsid w:val="00293420"/>
    <w:rsid w:val="002A2705"/>
    <w:rsid w:val="002A7585"/>
    <w:rsid w:val="002B39B4"/>
    <w:rsid w:val="002B5157"/>
    <w:rsid w:val="002C0E89"/>
    <w:rsid w:val="002C1FF1"/>
    <w:rsid w:val="002C2760"/>
    <w:rsid w:val="002C354E"/>
    <w:rsid w:val="002F1413"/>
    <w:rsid w:val="002F6E1A"/>
    <w:rsid w:val="00303359"/>
    <w:rsid w:val="00303D90"/>
    <w:rsid w:val="00311E7A"/>
    <w:rsid w:val="00313C70"/>
    <w:rsid w:val="00351330"/>
    <w:rsid w:val="003514B0"/>
    <w:rsid w:val="0037404C"/>
    <w:rsid w:val="00377E40"/>
    <w:rsid w:val="003950F3"/>
    <w:rsid w:val="003A3840"/>
    <w:rsid w:val="003A5F86"/>
    <w:rsid w:val="003B3B3A"/>
    <w:rsid w:val="003C106B"/>
    <w:rsid w:val="003E2AA4"/>
    <w:rsid w:val="003E732F"/>
    <w:rsid w:val="004148EB"/>
    <w:rsid w:val="004209DD"/>
    <w:rsid w:val="00433E89"/>
    <w:rsid w:val="00441803"/>
    <w:rsid w:val="0044755D"/>
    <w:rsid w:val="00452160"/>
    <w:rsid w:val="00456D00"/>
    <w:rsid w:val="004611D9"/>
    <w:rsid w:val="00465013"/>
    <w:rsid w:val="004713EA"/>
    <w:rsid w:val="004774E9"/>
    <w:rsid w:val="00480F7E"/>
    <w:rsid w:val="0049777B"/>
    <w:rsid w:val="004B0148"/>
    <w:rsid w:val="004C0C12"/>
    <w:rsid w:val="004D1D10"/>
    <w:rsid w:val="004D7565"/>
    <w:rsid w:val="004E0A4C"/>
    <w:rsid w:val="004E6BD0"/>
    <w:rsid w:val="00526B94"/>
    <w:rsid w:val="00542B31"/>
    <w:rsid w:val="00544282"/>
    <w:rsid w:val="00544336"/>
    <w:rsid w:val="00545A29"/>
    <w:rsid w:val="005707E3"/>
    <w:rsid w:val="0057497D"/>
    <w:rsid w:val="005749B4"/>
    <w:rsid w:val="00576342"/>
    <w:rsid w:val="00585279"/>
    <w:rsid w:val="005A3DC1"/>
    <w:rsid w:val="005B5DD3"/>
    <w:rsid w:val="005B6FFE"/>
    <w:rsid w:val="005B7907"/>
    <w:rsid w:val="005C17AB"/>
    <w:rsid w:val="005D27F6"/>
    <w:rsid w:val="005F534E"/>
    <w:rsid w:val="006001C4"/>
    <w:rsid w:val="00600509"/>
    <w:rsid w:val="00600D32"/>
    <w:rsid w:val="00601CC2"/>
    <w:rsid w:val="00602F8B"/>
    <w:rsid w:val="00611825"/>
    <w:rsid w:val="00613BDE"/>
    <w:rsid w:val="0062447C"/>
    <w:rsid w:val="0065470B"/>
    <w:rsid w:val="006837FC"/>
    <w:rsid w:val="00683961"/>
    <w:rsid w:val="0068457C"/>
    <w:rsid w:val="00686239"/>
    <w:rsid w:val="00690203"/>
    <w:rsid w:val="006B45AD"/>
    <w:rsid w:val="006B6E83"/>
    <w:rsid w:val="006C3FE8"/>
    <w:rsid w:val="006C482C"/>
    <w:rsid w:val="006C77F2"/>
    <w:rsid w:val="006D3548"/>
    <w:rsid w:val="006F56A9"/>
    <w:rsid w:val="006F59B7"/>
    <w:rsid w:val="006F7DBD"/>
    <w:rsid w:val="00710FFC"/>
    <w:rsid w:val="00712A8C"/>
    <w:rsid w:val="007445F1"/>
    <w:rsid w:val="00746A89"/>
    <w:rsid w:val="00766532"/>
    <w:rsid w:val="00775B48"/>
    <w:rsid w:val="0077782A"/>
    <w:rsid w:val="00780748"/>
    <w:rsid w:val="007931C9"/>
    <w:rsid w:val="00793944"/>
    <w:rsid w:val="00794A21"/>
    <w:rsid w:val="007A794B"/>
    <w:rsid w:val="007B0009"/>
    <w:rsid w:val="007B10F8"/>
    <w:rsid w:val="007B7879"/>
    <w:rsid w:val="007D4FAF"/>
    <w:rsid w:val="007E158F"/>
    <w:rsid w:val="007E292A"/>
    <w:rsid w:val="007F521B"/>
    <w:rsid w:val="007F6D05"/>
    <w:rsid w:val="007F6EAE"/>
    <w:rsid w:val="00807FFD"/>
    <w:rsid w:val="008103DC"/>
    <w:rsid w:val="00821C15"/>
    <w:rsid w:val="00822A88"/>
    <w:rsid w:val="00824123"/>
    <w:rsid w:val="00827ADF"/>
    <w:rsid w:val="0083292E"/>
    <w:rsid w:val="00832DA3"/>
    <w:rsid w:val="00833855"/>
    <w:rsid w:val="00857B91"/>
    <w:rsid w:val="00862C0D"/>
    <w:rsid w:val="00863B73"/>
    <w:rsid w:val="00866A60"/>
    <w:rsid w:val="008773C8"/>
    <w:rsid w:val="0089087A"/>
    <w:rsid w:val="00892C49"/>
    <w:rsid w:val="00894269"/>
    <w:rsid w:val="008947E0"/>
    <w:rsid w:val="00894B76"/>
    <w:rsid w:val="008A19BA"/>
    <w:rsid w:val="008B569A"/>
    <w:rsid w:val="008B77B7"/>
    <w:rsid w:val="008C3AF1"/>
    <w:rsid w:val="008E083C"/>
    <w:rsid w:val="008E3810"/>
    <w:rsid w:val="008E47B5"/>
    <w:rsid w:val="008E7811"/>
    <w:rsid w:val="008F219B"/>
    <w:rsid w:val="008F3152"/>
    <w:rsid w:val="00903BA3"/>
    <w:rsid w:val="00905809"/>
    <w:rsid w:val="00906105"/>
    <w:rsid w:val="009130F6"/>
    <w:rsid w:val="009175E0"/>
    <w:rsid w:val="00921066"/>
    <w:rsid w:val="0092283A"/>
    <w:rsid w:val="00922B73"/>
    <w:rsid w:val="0092465F"/>
    <w:rsid w:val="009306A1"/>
    <w:rsid w:val="00930854"/>
    <w:rsid w:val="00932174"/>
    <w:rsid w:val="00936DAE"/>
    <w:rsid w:val="0094685F"/>
    <w:rsid w:val="00964359"/>
    <w:rsid w:val="00977FA0"/>
    <w:rsid w:val="00985117"/>
    <w:rsid w:val="00987CF1"/>
    <w:rsid w:val="00991242"/>
    <w:rsid w:val="00993FD0"/>
    <w:rsid w:val="009A3225"/>
    <w:rsid w:val="009B493D"/>
    <w:rsid w:val="009C3638"/>
    <w:rsid w:val="009C3FDE"/>
    <w:rsid w:val="009D27D6"/>
    <w:rsid w:val="009E404B"/>
    <w:rsid w:val="009F18DE"/>
    <w:rsid w:val="00A10511"/>
    <w:rsid w:val="00A36A02"/>
    <w:rsid w:val="00A47BD2"/>
    <w:rsid w:val="00A6792B"/>
    <w:rsid w:val="00A7163A"/>
    <w:rsid w:val="00A80C6B"/>
    <w:rsid w:val="00A81F90"/>
    <w:rsid w:val="00A927AB"/>
    <w:rsid w:val="00A94963"/>
    <w:rsid w:val="00A97C27"/>
    <w:rsid w:val="00AB6EAE"/>
    <w:rsid w:val="00AD76FD"/>
    <w:rsid w:val="00AF0706"/>
    <w:rsid w:val="00AF43F9"/>
    <w:rsid w:val="00AF5761"/>
    <w:rsid w:val="00B0323B"/>
    <w:rsid w:val="00B10580"/>
    <w:rsid w:val="00B2437A"/>
    <w:rsid w:val="00B365A2"/>
    <w:rsid w:val="00B4032D"/>
    <w:rsid w:val="00B41CD9"/>
    <w:rsid w:val="00B56464"/>
    <w:rsid w:val="00B646FF"/>
    <w:rsid w:val="00B734EB"/>
    <w:rsid w:val="00B87696"/>
    <w:rsid w:val="00B9387B"/>
    <w:rsid w:val="00B9527D"/>
    <w:rsid w:val="00BA1AA3"/>
    <w:rsid w:val="00BB2A6E"/>
    <w:rsid w:val="00BC3B00"/>
    <w:rsid w:val="00BC65B0"/>
    <w:rsid w:val="00BE405D"/>
    <w:rsid w:val="00BE679B"/>
    <w:rsid w:val="00C002BB"/>
    <w:rsid w:val="00C00910"/>
    <w:rsid w:val="00C4027D"/>
    <w:rsid w:val="00C46243"/>
    <w:rsid w:val="00C6035F"/>
    <w:rsid w:val="00C80B16"/>
    <w:rsid w:val="00C9016E"/>
    <w:rsid w:val="00C91AE2"/>
    <w:rsid w:val="00CA24F9"/>
    <w:rsid w:val="00CB2AA7"/>
    <w:rsid w:val="00CB663C"/>
    <w:rsid w:val="00CB6762"/>
    <w:rsid w:val="00CE12F8"/>
    <w:rsid w:val="00CF3A8F"/>
    <w:rsid w:val="00CF6598"/>
    <w:rsid w:val="00CF7187"/>
    <w:rsid w:val="00D04BBA"/>
    <w:rsid w:val="00D2418F"/>
    <w:rsid w:val="00D25A9B"/>
    <w:rsid w:val="00D41505"/>
    <w:rsid w:val="00D43121"/>
    <w:rsid w:val="00D63F45"/>
    <w:rsid w:val="00D74B8F"/>
    <w:rsid w:val="00D77D9A"/>
    <w:rsid w:val="00D80F81"/>
    <w:rsid w:val="00D85C1A"/>
    <w:rsid w:val="00D96E60"/>
    <w:rsid w:val="00D97C51"/>
    <w:rsid w:val="00DB404E"/>
    <w:rsid w:val="00DB5365"/>
    <w:rsid w:val="00DF175D"/>
    <w:rsid w:val="00DF2B57"/>
    <w:rsid w:val="00DF6CE6"/>
    <w:rsid w:val="00E050E2"/>
    <w:rsid w:val="00E1345F"/>
    <w:rsid w:val="00E17B6B"/>
    <w:rsid w:val="00E20140"/>
    <w:rsid w:val="00E20473"/>
    <w:rsid w:val="00E2159E"/>
    <w:rsid w:val="00E23D77"/>
    <w:rsid w:val="00E40067"/>
    <w:rsid w:val="00E40303"/>
    <w:rsid w:val="00E408AA"/>
    <w:rsid w:val="00E52E7F"/>
    <w:rsid w:val="00E55249"/>
    <w:rsid w:val="00E66606"/>
    <w:rsid w:val="00E708CB"/>
    <w:rsid w:val="00E75EA6"/>
    <w:rsid w:val="00E927EF"/>
    <w:rsid w:val="00E97E38"/>
    <w:rsid w:val="00EA2080"/>
    <w:rsid w:val="00EA4C2B"/>
    <w:rsid w:val="00EC1572"/>
    <w:rsid w:val="00ED5550"/>
    <w:rsid w:val="00EE34D9"/>
    <w:rsid w:val="00F0398E"/>
    <w:rsid w:val="00F21A43"/>
    <w:rsid w:val="00F237AB"/>
    <w:rsid w:val="00F27474"/>
    <w:rsid w:val="00F63B56"/>
    <w:rsid w:val="00F85840"/>
    <w:rsid w:val="00F8736D"/>
    <w:rsid w:val="00F90499"/>
    <w:rsid w:val="00FA0E1C"/>
    <w:rsid w:val="00FA6A26"/>
    <w:rsid w:val="00FD279C"/>
    <w:rsid w:val="00F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FC65-8D0F-4953-A85E-C4646532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147</cp:revision>
  <cp:lastPrinted>2024-04-08T11:22:00Z</cp:lastPrinted>
  <dcterms:created xsi:type="dcterms:W3CDTF">2022-04-13T06:53:00Z</dcterms:created>
  <dcterms:modified xsi:type="dcterms:W3CDTF">2024-04-08T11:23:00Z</dcterms:modified>
</cp:coreProperties>
</file>