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332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марта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оболасти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проведении экспертизы была поставлена задача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102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1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1,2,3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,4,5,6</w:t>
      </w:r>
      <w:r w:rsidR="00470A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,7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26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марта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4 и плановый период 2024-2025 годов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первый р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</w:t>
      </w:r>
      <w:r w:rsidR="00F010B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F01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.12.202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F010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3F3C99" w:rsidRPr="002C0FE5" w:rsidTr="000F4560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1013498,6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1038093,9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+24595,3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F010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</w:t>
            </w:r>
            <w:r w:rsidR="00F010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2,4</w:t>
            </w: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197090,0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197090,0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A94268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A94268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816408,6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A94268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841003,9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A94268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+24595,3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A942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A942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</w:t>
            </w: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474A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1013498,6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A94268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1065624,1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A94268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+52125,5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973A89" w:rsidRDefault="003F3C99" w:rsidP="00A942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+</w:t>
            </w:r>
            <w:r w:rsidR="00A942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5,1</w:t>
            </w:r>
            <w:r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3F3C99" w:rsidRPr="002C0FE5" w:rsidTr="000F4560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F010BB" w:rsidP="00F010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F010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="00F010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27530,2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C99" w:rsidRPr="002C0FE5" w:rsidRDefault="0075585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C99" w:rsidRPr="002C0FE5" w:rsidRDefault="003F3C9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увеличения на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24595,3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 планируется увеличить на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52125,5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или на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назначениям.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Дефицит состави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27530,2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8D6277" w:rsidRPr="002C0FE5" w:rsidRDefault="008D6277" w:rsidP="000F45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Основные характеристики бюджета округа на плановый период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увеличены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27310,4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 с учетом изменений составят доходы –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953824,6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953824,6</w:t>
      </w:r>
      <w:r w:rsidR="00EB64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на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так же увеличены на 9124,4 тыс.рублей и с учетом изменений составят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доходы –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736046,4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736046,4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предусматривается увеличение доходов бюджета округа  в 202</w:t>
      </w:r>
      <w:r w:rsidR="007A707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общую сумму </w:t>
      </w:r>
      <w:r w:rsidR="007A707C">
        <w:rPr>
          <w:rFonts w:ascii="Times New Roman" w:eastAsia="Times New Roman" w:hAnsi="Times New Roman"/>
          <w:sz w:val="28"/>
          <w:szCs w:val="28"/>
          <w:lang w:eastAsia="ar-SA"/>
        </w:rPr>
        <w:t>24595,3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2023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816408,6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395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841003,9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7A70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 w:rsidR="007A7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24595,3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142229,4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158629,4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+16400,0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F42DC8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7A707C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495115,4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Default="007A707C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500763,1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Default="009457F2" w:rsidP="00CE68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 w:rsidR="007A70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5647,</w:t>
            </w:r>
            <w:r w:rsidR="00CE68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F42DC8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474A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171813,8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173479,8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3B76" w:rsidRDefault="00F42DC8" w:rsidP="00CE68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3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7A70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</w:t>
            </w:r>
            <w:r w:rsidR="00CE68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7A70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CE68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F42DC8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7A5920" w:rsidRDefault="00F42DC8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DC8" w:rsidRPr="002C0FE5" w:rsidRDefault="007A707C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881,7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DC8" w:rsidRPr="002C3B76" w:rsidRDefault="007A707C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+881,7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726E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 проектом закона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«О внесении изменений в закон области от 1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 5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491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-ОЗ «Об областном</w:t>
      </w:r>
      <w:r w:rsidR="00C022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бюджете на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новый период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CE68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 и на основании </w:t>
      </w:r>
      <w:r w:rsidR="00C4246A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Уведомлений об изменении бюджетных  ассигнований по </w:t>
      </w:r>
      <w:r w:rsidR="006D6965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доходам</w:t>
      </w:r>
      <w:r w:rsid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7A5920" w:rsidRPr="007A5920" w:rsidRDefault="007A5920" w:rsidP="007A5920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части </w:t>
      </w:r>
      <w:r w:rsidRP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дотации бюджетам бюджетной системы РФ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395E0F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+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16400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,0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дотации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бюджетной системы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Российской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Федерации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(д</w:t>
      </w:r>
      <w:r w:rsidR="00C0229E"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отации бюджетам муниципальных округов на поддержку мер по обеспечению сбалансированности бюджетов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)</w:t>
      </w:r>
      <w:r w:rsid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7A5920" w:rsidRDefault="007A5920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  2.</w:t>
      </w:r>
      <w:r w:rsidRPr="007A592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части субсидии бюджетам бюджетной системы РФ (межбюджетные субсидии)</w:t>
      </w:r>
      <w:r w:rsidR="00FE64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+ 5647,7 тыс.рублей в т.ч.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AA16E5" w:rsidRDefault="00AA16E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+461,9 тыс.рублей  с</w:t>
      </w:r>
      <w:r w:rsidRP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AA16E5" w:rsidRDefault="00AA16E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- 10030,7 тыс.рублей с</w:t>
      </w:r>
      <w:r w:rsidRP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AA16E5" w:rsidRDefault="00AA16E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+194,5</w:t>
      </w:r>
      <w:r w:rsidR="007A5920" w:rsidRP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тыс.рублей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с</w:t>
      </w:r>
      <w:r w:rsidRP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убсидии бюджетам муниципальных округов на подготовку проектов межевания земельных участков и на проведение кадастровых работ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;</w:t>
      </w:r>
    </w:p>
    <w:p w:rsidR="00AA16E5" w:rsidRDefault="00AA16E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+ 15022,0 </w:t>
      </w:r>
      <w:r w:rsid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тыс.рублей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</w:t>
      </w:r>
      <w:r w:rsidRPr="00AA16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рочие субсидии бюджетам муниципальных округов</w:t>
      </w:r>
      <w:r w:rsid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7A5920" w:rsidRPr="007A5920" w:rsidRDefault="007A5920" w:rsidP="007A5920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</w:t>
      </w:r>
      <w:r w:rsidRP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3.В части с</w:t>
      </w:r>
      <w:r w:rsidRP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убвенции бюджетам бюджетной системы РФ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AA16E5" w:rsidRDefault="007A5920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+ 1665,9 тыс.рублей с</w:t>
      </w:r>
      <w:r w:rsidRP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убвенции бюджетам муниципальных округов на выполнение передаваемых полномочий субъектов Российской Федерации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7A5920" w:rsidRDefault="007A5920" w:rsidP="00FF22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4</w:t>
      </w:r>
      <w:r w:rsidRP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  <w:r w:rsidRPr="007A59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части прочие безвозмездных поступлений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7A5920" w:rsidRPr="007A5920" w:rsidRDefault="007A5920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+ 881,7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тыс.рублей п</w:t>
      </w:r>
      <w:r w:rsidRPr="007A5920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оступления от денежных пожертвований, предоставляемых физическими лицами получателям средств бюджетов муниципальных округов</w:t>
      </w:r>
    </w:p>
    <w:p w:rsidR="002908FD" w:rsidRPr="00395E0F" w:rsidRDefault="006D6965" w:rsidP="0068788D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2908FD"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основании вышеизложенного внесение изменений в бюджет округа на 202</w:t>
      </w:r>
      <w:r w:rsidR="0068788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4</w:t>
      </w:r>
      <w:r w:rsidR="002908FD"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</w:t>
      </w:r>
      <w:r w:rsidR="002908FD"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lastRenderedPageBreak/>
        <w:t>безвозмездным поступлениям бюджета округа на 202</w:t>
      </w:r>
      <w:r w:rsidR="0068788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4</w:t>
      </w:r>
      <w:r w:rsidR="002908FD"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составят </w:t>
      </w:r>
      <w:r w:rsidR="0068788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841003,9</w:t>
      </w:r>
      <w:r w:rsidR="002908FD" w:rsidRPr="00ED132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рублей.</w:t>
      </w:r>
    </w:p>
    <w:p w:rsidR="009F6AC5" w:rsidRPr="00781EB5" w:rsidRDefault="000F4560" w:rsidP="005620BB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D13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на 202</w:t>
      </w:r>
      <w:r w:rsidR="006878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A213F">
        <w:rPr>
          <w:rFonts w:ascii="Times New Roman" w:eastAsia="Times New Roman" w:hAnsi="Times New Roman"/>
          <w:sz w:val="28"/>
          <w:szCs w:val="28"/>
          <w:lang w:eastAsia="ru-RU"/>
        </w:rPr>
        <w:t xml:space="preserve"> и 2026 годы </w:t>
      </w:r>
      <w:r w:rsidR="00ED132D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88D">
        <w:rPr>
          <w:rFonts w:ascii="Times New Roman" w:eastAsia="Times New Roman" w:hAnsi="Times New Roman"/>
          <w:sz w:val="28"/>
          <w:szCs w:val="28"/>
          <w:lang w:eastAsia="ru-RU"/>
        </w:rPr>
        <w:t>увеличены</w:t>
      </w:r>
      <w:r w:rsidR="008A0D30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0A213F">
        <w:rPr>
          <w:rFonts w:ascii="Times New Roman" w:eastAsia="Times New Roman" w:hAnsi="Times New Roman"/>
          <w:sz w:val="28"/>
          <w:szCs w:val="28"/>
          <w:lang w:eastAsia="ru-RU"/>
        </w:rPr>
        <w:t>27310,4 тыс. рублей и 9124,4 тыс. рублей соответственно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0BB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0A21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прочих субсидий </w:t>
      </w:r>
      <w:r w:rsidR="00ED132D" w:rsidRPr="00781EB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муниципальных округов</w:t>
      </w:r>
      <w:r w:rsidR="00562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FE5" w:rsidRPr="00EB067E" w:rsidRDefault="00EB067E" w:rsidP="002C0FE5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lang w:eastAsia="ar-SA"/>
        </w:rPr>
        <w:t xml:space="preserve">    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Предлагаемые изменения доходной части бюджета на 202</w:t>
      </w:r>
      <w:r w:rsidR="000A213F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4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год </w:t>
      </w:r>
      <w:r w:rsidR="000A213F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и плановый период на 2025 и 2026 годы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с увеличением на </w:t>
      </w:r>
      <w:r w:rsidR="000A213F">
        <w:rPr>
          <w:rFonts w:ascii="Times New Roman CYR" w:eastAsia="Times New Roman CYR" w:hAnsi="Times New Roman CYR" w:cs="Times New Roman CYR"/>
          <w:bCs/>
          <w:i/>
          <w:iCs/>
          <w:color w:val="000000"/>
          <w:sz w:val="28"/>
          <w:szCs w:val="28"/>
          <w:lang w:eastAsia="ar-SA"/>
        </w:rPr>
        <w:t>24595,3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</w:t>
      </w:r>
      <w:r w:rsidR="000A213F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, на 27310,4 тыс. рублей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и на </w:t>
      </w:r>
      <w:r w:rsidR="000A213F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9124,4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являются обоснованными и влекут за собой внесение изменений в расходную часть  бюджета округа. </w:t>
      </w:r>
    </w:p>
    <w:p w:rsidR="002C0FE5" w:rsidRPr="00EB067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06506D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1. Соответствие требованиям Бюджетного кодекса РФ.</w:t>
      </w:r>
    </w:p>
    <w:p w:rsidR="0006506D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проекте решения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 о внесении изменений в бюджет округа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предусмотрено изменение в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 бюджета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, который составит 27530,2 тыс.рублей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соответствует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3 статьи 92.1 Бюджетного кодекса РФ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102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1013498,6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- дефицит</w:t>
      </w:r>
      <w:r w:rsidR="00685616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отсутс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вует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1065624,1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- размер дефицита бюджета округа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 увеличится на 27530,2 тыс.рублей и 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авит 27530,2 тыс.рублей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Таким образом, в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происходит увеличение объема расходов на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52125,6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Размеры уточнений по разделам подразделам функциональной классификации расходов на 202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4B062D" w:rsidRDefault="004B062D" w:rsidP="002C0FE5">
      <w:pPr>
        <w:suppressAutoHyphens/>
        <w:autoSpaceDE w:val="0"/>
        <w:spacing w:after="119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</w:t>
      </w: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084" w:type="dxa"/>
        <w:tblInd w:w="96" w:type="dxa"/>
        <w:tblLook w:val="04A0"/>
      </w:tblPr>
      <w:tblGrid>
        <w:gridCol w:w="4407"/>
        <w:gridCol w:w="1559"/>
        <w:gridCol w:w="1559"/>
        <w:gridCol w:w="1559"/>
      </w:tblGrid>
      <w:tr w:rsidR="00515B2A" w:rsidRPr="00515B2A" w:rsidTr="00515B2A">
        <w:trPr>
          <w:trHeight w:val="288"/>
        </w:trPr>
        <w:tc>
          <w:tcPr>
            <w:tcW w:w="4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15B2A" w:rsidRPr="00515B2A" w:rsidTr="00515B2A">
        <w:trPr>
          <w:trHeight w:val="288"/>
        </w:trPr>
        <w:tc>
          <w:tcPr>
            <w:tcW w:w="4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5B2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515B2A" w:rsidRPr="00515B2A" w:rsidTr="00515B2A">
        <w:trPr>
          <w:trHeight w:val="56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111013,5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120116,2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9102,6</w:t>
            </w:r>
          </w:p>
        </w:tc>
      </w:tr>
      <w:tr w:rsidR="00515B2A" w:rsidRPr="00515B2A" w:rsidTr="00515B2A">
        <w:trPr>
          <w:trHeight w:val="816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2367,3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515B2A" w:rsidRPr="00515B2A" w:rsidTr="00515B2A">
        <w:trPr>
          <w:trHeight w:val="70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60895,6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65718,7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4823,1</w:t>
            </w:r>
          </w:p>
        </w:tc>
      </w:tr>
      <w:tr w:rsidR="00515B2A" w:rsidRPr="00515B2A" w:rsidTr="00515B2A">
        <w:trPr>
          <w:trHeight w:val="618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12683,5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13441,5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</w:tr>
      <w:tr w:rsidR="00515B2A" w:rsidRPr="00515B2A" w:rsidTr="00515B2A">
        <w:trPr>
          <w:trHeight w:val="307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35176,9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38548,5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3371,6</w:t>
            </w:r>
          </w:p>
        </w:tc>
      </w:tr>
      <w:tr w:rsidR="00515B2A" w:rsidRPr="00515B2A" w:rsidTr="00515B2A">
        <w:trPr>
          <w:trHeight w:val="84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5120,3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5250,2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515B2A" w:rsidRPr="00515B2A" w:rsidTr="00515B2A">
        <w:trPr>
          <w:trHeight w:val="32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515B2A" w:rsidRPr="00515B2A" w:rsidTr="00515B2A">
        <w:trPr>
          <w:trHeight w:val="816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правоохраниельной деятельности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3799,3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3927,6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515B2A" w:rsidRPr="00515B2A" w:rsidTr="00515B2A">
        <w:trPr>
          <w:trHeight w:val="32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83408,5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91759,3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8350,8</w:t>
            </w:r>
          </w:p>
        </w:tc>
      </w:tr>
      <w:tr w:rsidR="00515B2A" w:rsidRPr="00515B2A" w:rsidTr="00515B2A">
        <w:trPr>
          <w:trHeight w:val="289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50651,7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58243,5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7591,8</w:t>
            </w:r>
          </w:p>
        </w:tc>
      </w:tr>
      <w:tr w:rsidR="00515B2A" w:rsidRPr="00515B2A" w:rsidTr="00515B2A">
        <w:trPr>
          <w:trHeight w:val="552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5306,5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6065,4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</w:tr>
      <w:tr w:rsidR="00515B2A" w:rsidRPr="00515B2A" w:rsidTr="00515B2A">
        <w:trPr>
          <w:trHeight w:val="67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406517,8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419456,7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12938,9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158830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149474,2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-9355,8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217797,6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11772,6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41662,8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52184,9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10522,1</w:t>
            </w:r>
          </w:p>
        </w:tc>
      </w:tr>
      <w:tr w:rsidR="00515B2A" w:rsidRPr="00515B2A" w:rsidTr="00515B2A">
        <w:trPr>
          <w:trHeight w:val="32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331625,7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337747,2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6121,5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91814,7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91086,6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-728,1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190920,1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196400,4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5480,3</w:t>
            </w:r>
          </w:p>
        </w:tc>
      </w:tr>
      <w:tr w:rsidR="00515B2A" w:rsidRPr="00515B2A" w:rsidTr="00515B2A">
        <w:trPr>
          <w:trHeight w:val="316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24573,2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25133,2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</w:tr>
      <w:tr w:rsidR="00515B2A" w:rsidRPr="00515B2A" w:rsidTr="00515B2A">
        <w:trPr>
          <w:trHeight w:val="265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23495,2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24304,5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809,3</w:t>
            </w:r>
          </w:p>
        </w:tc>
      </w:tr>
      <w:tr w:rsidR="00515B2A" w:rsidRPr="00515B2A" w:rsidTr="00515B2A">
        <w:trPr>
          <w:trHeight w:val="397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53953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56836,9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2883,9</w:t>
            </w:r>
          </w:p>
        </w:tc>
      </w:tr>
      <w:tr w:rsidR="00515B2A" w:rsidRPr="00515B2A" w:rsidTr="00515B2A">
        <w:trPr>
          <w:trHeight w:val="300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56836,9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2883,9</w:t>
            </w:r>
          </w:p>
        </w:tc>
      </w:tr>
      <w:tr w:rsidR="00515B2A" w:rsidRPr="00515B2A" w:rsidTr="00515B2A">
        <w:trPr>
          <w:trHeight w:val="389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9861,7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19321,7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9460</w:t>
            </w:r>
          </w:p>
        </w:tc>
      </w:tr>
      <w:tr w:rsidR="00515B2A" w:rsidRPr="00515B2A" w:rsidTr="00515B2A">
        <w:trPr>
          <w:trHeight w:val="267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5861,9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15111,9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9250</w:t>
            </w:r>
          </w:p>
        </w:tc>
      </w:tr>
      <w:tr w:rsidR="00515B2A" w:rsidRPr="00515B2A" w:rsidTr="0053673B">
        <w:trPr>
          <w:trHeight w:val="247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515B2A" w:rsidRPr="00515B2A" w:rsidTr="00515B2A">
        <w:trPr>
          <w:trHeight w:val="468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12147,8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3137,8</w:t>
            </w:r>
          </w:p>
        </w:tc>
      </w:tr>
      <w:tr w:rsidR="00515B2A" w:rsidRPr="00515B2A" w:rsidTr="00515B2A">
        <w:trPr>
          <w:trHeight w:val="324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12147,8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3137,8</w:t>
            </w:r>
          </w:p>
        </w:tc>
      </w:tr>
      <w:tr w:rsidR="00515B2A" w:rsidRPr="00515B2A" w:rsidTr="00515B2A">
        <w:trPr>
          <w:trHeight w:val="336"/>
        </w:trPr>
        <w:tc>
          <w:tcPr>
            <w:tcW w:w="4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1013498,6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1065624,1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B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52125,5</w:t>
            </w:r>
          </w:p>
        </w:tc>
      </w:tr>
      <w:tr w:rsidR="00515B2A" w:rsidRPr="00515B2A" w:rsidTr="00515B2A">
        <w:trPr>
          <w:trHeight w:val="288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B2A" w:rsidRPr="00515B2A" w:rsidRDefault="00515B2A" w:rsidP="00515B2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F263E" w:rsidRDefault="00D90CED" w:rsidP="005F263E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Проведенным анализом изменений расходной части бюджета округа установлено, что сумма расходных ассигнований бюджета </w:t>
      </w:r>
      <w:r w:rsidR="007E001D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Чагодощенского 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муниципального округа в целом увеличена на сумму </w:t>
      </w:r>
      <w:r w:rsidR="000656A3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52125,5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="000656A3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в т.ч. за счет средств областного бюджета в сумме 23713,6 тыс.рублей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, в том числе</w:t>
      </w:r>
      <w:r w:rsidR="005F263E" w:rsidRPr="005F263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F263E" w:rsidRPr="005F263E" w:rsidRDefault="005F263E" w:rsidP="005F263E">
      <w:pPr>
        <w:spacing w:after="0" w:line="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дотация на поддержку мер по обеспечению сбалансированности местных бюджетов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+16 400,0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реализацию мероприятий по организации школьных музеев 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+1 000,0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реализацию мероприятий по обеспечению развития и укрепления материально-технической базы муниципальных учреждений культуры (МБУ Чагодощенский музей») 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+1 000,0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(на создание экспозиции о ВОВ);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+461,9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</w:t>
      </w:r>
      <w:r w:rsidR="004856F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>. (перенос остатков прошлого года);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обеспечение мероприятий по переселению граждан из аварийного жилищного фонда за счет средств, поступающих за счет средств областного бюджета </w:t>
      </w:r>
    </w:p>
    <w:p w:rsidR="005F263E" w:rsidRPr="005F263E" w:rsidRDefault="005F263E" w:rsidP="005F26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-10 030,7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укрепление материально-технической базы муниципальных физкультурно-спортивных организаций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+1 222,0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(МБУ «Дворец спорта»);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обустройство контейнерных площадок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+3 600,0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обустройство систем уличного освещения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+4 392,6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-субвенции на проектирование и строительство распределительных газовых сетей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+3600,0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подготовку проектов межевания земельных участков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+64,8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проведение кадастровых работ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+129,7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-субсидии на доставку товаров в социально-значимые магазины в малонаселенных и (или) труднодоступных населенных пунктах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+207,4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-субвенции на общеобразовательный процесс (учебники)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+1 665,9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5F263E" w:rsidRPr="005F263E" w:rsidRDefault="005F263E" w:rsidP="005F2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средств, поступивших от физических лиц на реализацию проекта «Народный бюджет» +881,7 тыс.руб.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распределения остатков средств, сложившихся на 01.01.2024 года в сумме 27 530,2 тыс.руб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дотации из областного бюджета на решение вопросов местного значения в сумме 16 400,0 тыс.руб.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заработной платы работникам муниципальных бюджетных учреждений и работникам аппарата управления с 01.03.2024 года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+8 706,0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реализации проекта «Народный бюджет»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+5 330,0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текущие расходы по администрации округа (опубликование – 400 тыс.руб.)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+400,0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>Содержание муниципального имущества: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КУМИ: постановка объектов на учет +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115,0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задолженность ЖКХ по выморочному имуществу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+174,4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 кадастровые работы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+255,0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перевод новых автобусов на газ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+156,0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ремонты муниципальных квартир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+228,6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- Сазоновское ТУ: кадастровые работы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+90,0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МП «Развитие информационных технологий» (оборудование к ВКС)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+300,0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по подготовке проектов межевания земельных участков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+7,2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на проведение кадастровых работ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+14,4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по мероприятиям на доставку товаров в социально-значимые магазины в малонаселенных и (или) труднодоступных населенных пунктах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+10,9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ремонт и содержание автомобильных дорог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+7 591,8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оценке жилых помещений (МП «Переселение»)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+213,0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ремонтные мероприятия на объектах коммунальной инфраструктуры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+2 720,0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(подвод сетей к дому сирот п. Сазоново +440,0 т.р., водопровод ул. Северная +180,0 т.р., разработка проекта нормативно допустимых сбросов +250,0 т.р., экспертиза очистных +650,0 т.р., строительный и авторский надзор (очистные) +1200,0 т.р.);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схем теплоснабжения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+250,0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МУПам для обеспечения бесперебойного теплоснабжения и водоснабжения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+2 403,0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  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на проектирование и строительство распределительных газовых сетей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+150,0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и повышение внешней привлекательности территорий округа (Чагодское ТУ)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+695,0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софинансипрование на обустройство контейнерных площадок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+111,3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на обустройство систем уличного освещения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+183,0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системы отопления Первомайская школа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+213,3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территорий школ округа (восстановление субсидии)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+2960,9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по организации школьных музеев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+0,2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прохождение госэкспертизы на капитальный ремонт здания МБУДО «Чагодская детская школа искусств» для вхождения в гос.программу «Развитие культуры» на 2025 год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образования: ремонт кабинета специалистов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+52,1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 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педагогов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+75,0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по обеспечению развития и укрепления материально-технической базы муниципальных учреждений культуры (МБУ Чагодощенский музей» создание экспозиции о ВОВ)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+52,6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Чагодощенская ЦБС (филиал Избоищи)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+400,0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культуры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+725,4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дополнительные средства на содержание зала в ЛПХ «Граффит» Дворец спорта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+381,9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кубка Главы по хоккею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на укрепление материально-технической базы муниципальных физкультурно-спортивных организаций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+135,8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поддержки для обеспечения единовременных выплат для участников СВО, заключившим контракты с 01.01.2024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+6 950,0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тыс.рублей;</w:t>
      </w:r>
    </w:p>
    <w:p w:rsidR="005F263E" w:rsidRPr="005F263E" w:rsidRDefault="005F263E" w:rsidP="005F2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поддержки семьям мобилизованных граждан в виде предоставления денежной компенсации на приобретение твердого топлива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+2300,0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D90CED" w:rsidRPr="005F263E" w:rsidRDefault="005F263E" w:rsidP="005F263E">
      <w:pPr>
        <w:suppressAutoHyphens/>
        <w:spacing w:before="100" w:after="0" w:line="240" w:lineRule="auto"/>
        <w:ind w:left="-23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highlight w:val="cyan"/>
          <w:lang w:eastAsia="ar-SA"/>
        </w:rPr>
      </w:pP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субсидий, предоставляемых совету ветеранов на содержание организации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+50,0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и на проведение мероприятий по культобслуживанию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+108,0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и обществу инвалидов на содержание организации </w:t>
      </w:r>
      <w:r w:rsidRPr="005F263E">
        <w:rPr>
          <w:rFonts w:ascii="Times New Roman" w:eastAsia="Times New Roman" w:hAnsi="Times New Roman"/>
          <w:b/>
          <w:sz w:val="28"/>
          <w:szCs w:val="28"/>
          <w:lang w:eastAsia="ru-RU"/>
        </w:rPr>
        <w:t>+52,0</w:t>
      </w:r>
      <w:r w:rsidRPr="005F26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</w:t>
      </w:r>
      <w:r w:rsidR="00D90CED" w:rsidRPr="005F263E">
        <w:rPr>
          <w:rFonts w:ascii="Times New Roman" w:eastAsia="Times New Roman CYR" w:hAnsi="Times New Roman"/>
          <w:color w:val="000000" w:themeColor="text1"/>
          <w:sz w:val="28"/>
          <w:szCs w:val="28"/>
          <w:highlight w:val="cyan"/>
          <w:lang w:eastAsia="ar-SA"/>
        </w:rPr>
        <w:t xml:space="preserve"> </w:t>
      </w:r>
    </w:p>
    <w:p w:rsidR="00D90CED" w:rsidRPr="005F263E" w:rsidRDefault="00856218" w:rsidP="008123C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</w:pPr>
      <w:r w:rsidRPr="005F263E">
        <w:rPr>
          <w:rFonts w:ascii="Times New Roman" w:eastAsia="Times New Roman CYR" w:hAnsi="Times New Roman"/>
          <w:iCs/>
          <w:color w:val="000000"/>
          <w:kern w:val="2"/>
          <w:sz w:val="28"/>
          <w:szCs w:val="28"/>
          <w:lang w:eastAsia="ar-SA"/>
        </w:rPr>
        <w:t xml:space="preserve">      </w:t>
      </w:r>
      <w:r w:rsidR="007B3AC8" w:rsidRPr="005F263E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253777" w:rsidRPr="005F263E" w:rsidRDefault="005E1F2E" w:rsidP="000F4560">
      <w:pPr>
        <w:suppressAutoHyphens/>
        <w:spacing w:after="0" w:line="240" w:lineRule="auto"/>
        <w:ind w:left="-23" w:firstLine="56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Представленным п</w:t>
      </w:r>
      <w:r w:rsidR="00253777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роект</w:t>
      </w:r>
      <w:r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ом</w:t>
      </w:r>
      <w:r w:rsidR="00253777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решения </w:t>
      </w:r>
      <w:r w:rsidR="007B6BE8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также </w:t>
      </w:r>
      <w:r w:rsidR="00253777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предусматривает</w:t>
      </w:r>
      <w:r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ся</w:t>
      </w:r>
      <w:r w:rsidR="00253777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изменение бюджетных ассигнований </w:t>
      </w:r>
      <w:r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расходам </w:t>
      </w:r>
      <w:r w:rsidR="00253777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и на плановый период 202</w:t>
      </w:r>
      <w:r w:rsidR="000656A3" w:rsidRPr="005F263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5и 2026 годы.</w:t>
      </w:r>
    </w:p>
    <w:p w:rsidR="005E1F2E" w:rsidRPr="002C0FE5" w:rsidRDefault="005E1F2E" w:rsidP="005E1F2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Размеры уточнений по разделам подразделам функционально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классификации расходов на 202</w:t>
      </w:r>
      <w:r w:rsidR="000656A3">
        <w:rPr>
          <w:rFonts w:ascii="Times New Roman" w:eastAsia="Times New Roman" w:hAnsi="Times New Roman"/>
          <w:sz w:val="28"/>
          <w:szCs w:val="28"/>
          <w:lang w:eastAsia="ar-SA"/>
        </w:rPr>
        <w:t>5-2026 г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="008A1D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представлены в таблице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№4.</w:t>
      </w:r>
    </w:p>
    <w:p w:rsidR="005E1F2E" w:rsidRPr="005E1F2E" w:rsidRDefault="005E1F2E" w:rsidP="00F26513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 w:rsidRPr="005E1F2E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>Таблица №4</w:t>
      </w:r>
    </w:p>
    <w:tbl>
      <w:tblPr>
        <w:tblW w:w="9660" w:type="dxa"/>
        <w:tblInd w:w="90" w:type="dxa"/>
        <w:tblLayout w:type="fixed"/>
        <w:tblLook w:val="0000"/>
      </w:tblPr>
      <w:tblGrid>
        <w:gridCol w:w="3704"/>
        <w:gridCol w:w="992"/>
        <w:gridCol w:w="992"/>
        <w:gridCol w:w="993"/>
        <w:gridCol w:w="993"/>
        <w:gridCol w:w="993"/>
        <w:gridCol w:w="993"/>
      </w:tblGrid>
      <w:tr w:rsidR="000656A3" w:rsidRPr="002C0FE5" w:rsidTr="00693B9E">
        <w:trPr>
          <w:trHeight w:val="366"/>
          <w:tblHeader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</w:tr>
      <w:tr w:rsidR="000656A3" w:rsidRPr="002C0FE5" w:rsidTr="00693B9E">
        <w:trPr>
          <w:trHeight w:val="366"/>
          <w:tblHeader/>
        </w:trPr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A3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</w:t>
            </w:r>
            <w:r w:rsidR="00693B9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  <w:p w:rsidR="000656A3" w:rsidRPr="002C0FE5" w:rsidRDefault="000656A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656A3" w:rsidRPr="002C0FE5" w:rsidTr="00693B9E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Default="00693B9E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109089,5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Default="00693B9E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106552,1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A3" w:rsidRDefault="00F26513" w:rsidP="00F265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-2537,4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693B9E" w:rsidP="00065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113263,0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693B9E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112048,4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F2651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-1214,6</w:t>
            </w:r>
          </w:p>
        </w:tc>
      </w:tr>
      <w:tr w:rsidR="000656A3" w:rsidRPr="002C0FE5" w:rsidTr="00693B9E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6F41D5" w:rsidRDefault="00693B9E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60261,9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57724,5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A3" w:rsidRPr="006F41D5" w:rsidRDefault="00F2651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-2537,4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Pr="006F41D5" w:rsidRDefault="006F41D5" w:rsidP="000656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62603,1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Pr="006F41D5" w:rsidRDefault="006F41D5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61388,5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F2651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-1214,6</w:t>
            </w:r>
          </w:p>
        </w:tc>
      </w:tr>
      <w:tr w:rsidR="000656A3" w:rsidRPr="002C0FE5" w:rsidTr="000656A3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2C0FE5" w:rsidRDefault="000656A3" w:rsidP="006F4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</w:t>
            </w:r>
            <w:r w:rsidR="006F41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7255,5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A3" w:rsidRDefault="00F2651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A3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4183,4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A3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6168,4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Default="00F2651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1985,0</w:t>
            </w:r>
          </w:p>
        </w:tc>
      </w:tr>
      <w:tr w:rsidR="000656A3" w:rsidRPr="002C0FE5" w:rsidTr="000656A3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7B3AC8" w:rsidRDefault="006F41D5" w:rsidP="007B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6A3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4036,0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A3" w:rsidRPr="006F41D5" w:rsidRDefault="00F2651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3176,0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A3" w:rsidRPr="006F41D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F41D5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5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56A3" w:rsidRPr="006F41D5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2845,0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A3" w:rsidRPr="00E0758D" w:rsidRDefault="00F26513" w:rsidP="0069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0758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1985,0</w:t>
            </w:r>
          </w:p>
        </w:tc>
      </w:tr>
      <w:tr w:rsidR="000656A3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2C0FE5" w:rsidRDefault="006F41D5" w:rsidP="00083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6F41D5" w:rsidP="007B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25548,1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6F41D5" w:rsidP="007B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25766,4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F26513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218,3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2BE" w:rsidRDefault="00E172BE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26533,5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2BE" w:rsidRDefault="00E172BE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26751,8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F26513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218,3</w:t>
            </w:r>
          </w:p>
        </w:tc>
      </w:tr>
      <w:tr w:rsidR="000656A3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D878AB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5309,9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5528,2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F26513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218,3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5785,4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0656A3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6003,7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647161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218,3</w:t>
            </w:r>
          </w:p>
        </w:tc>
      </w:tr>
      <w:tr w:rsidR="006F41D5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D878AB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ЖИЛИЩНО-КОММУНАЛЬНОЕ ХОЗЯЙСТВО, из них: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354521,9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377462,4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47161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22940,5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155689,3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160002,3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E0758D" w:rsidRDefault="00647161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07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4313,0</w:t>
            </w:r>
          </w:p>
        </w:tc>
      </w:tr>
      <w:tr w:rsidR="006F41D5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D878AB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335910,0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352785,0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47161" w:rsidP="006471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16875,0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647161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647161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47161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6F41D5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D878AB" w:rsidRDefault="006F41D5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F41D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18611,9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24677,4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47161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6065,5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6F41D5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18426,1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1D5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22739,1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1D5" w:rsidRPr="006F41D5" w:rsidRDefault="00647161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4313,0</w:t>
            </w:r>
          </w:p>
        </w:tc>
      </w:tr>
      <w:tr w:rsidR="000656A3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ОБРАЗОВАНИЕ, из них: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348361,7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351288,2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51836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2926,5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308916,6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312152,6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51836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3236,0</w:t>
            </w:r>
          </w:p>
        </w:tc>
      </w:tr>
      <w:tr w:rsidR="000656A3" w:rsidRPr="002C0FE5" w:rsidTr="00AF3059">
        <w:trPr>
          <w:trHeight w:val="568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894411" w:rsidRDefault="00AF3059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lastRenderedPageBreak/>
              <w:t>Общее</w:t>
            </w:r>
            <w:r w:rsidR="000656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202587,0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205513,5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51836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2926,5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6A3" w:rsidRDefault="000656A3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F3059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161745,2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6A3" w:rsidRDefault="000656A3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F3059" w:rsidRPr="006F41D5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164981,2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A51836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3236,0</w:t>
            </w:r>
          </w:p>
        </w:tc>
      </w:tr>
      <w:tr w:rsidR="00AF3059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AF305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ФИЗИЧЕСКАЯ КУЛЬТУРА И СПОРТ</w:t>
            </w:r>
          </w:p>
          <w:p w:rsidR="00AF3059" w:rsidRPr="00AF3059" w:rsidRDefault="00AF3059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8373,1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8959,8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59" w:rsidRPr="00A51836" w:rsidRDefault="00A51836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518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586,7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Pr="00A51836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F3059" w:rsidRPr="00A51836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518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8494,9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Pr="00A51836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F3059" w:rsidRPr="00A51836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518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9081,5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59" w:rsidRPr="00A51836" w:rsidRDefault="00A51836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518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586,6</w:t>
            </w:r>
          </w:p>
        </w:tc>
      </w:tr>
      <w:tr w:rsidR="00AF3059" w:rsidRPr="002C0FE5" w:rsidTr="000656A3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AF305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Массовый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F30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8373,1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3059" w:rsidRP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F30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8959,8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59" w:rsidRPr="006F41D5" w:rsidRDefault="00A51836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586,7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8494,9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F3059" w:rsidRDefault="00AF3059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9081,5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059" w:rsidRPr="006F41D5" w:rsidRDefault="00A51836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586,6</w:t>
            </w:r>
          </w:p>
        </w:tc>
      </w:tr>
      <w:tr w:rsidR="000656A3" w:rsidRPr="002C0FE5" w:rsidTr="00AF3059">
        <w:tblPrEx>
          <w:tblCellMar>
            <w:top w:w="108" w:type="dxa"/>
            <w:bottom w:w="108" w:type="dxa"/>
          </w:tblCellMar>
        </w:tblPrEx>
        <w:trPr>
          <w:trHeight w:val="407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2C0FE5" w:rsidRDefault="000656A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E172BE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926514,2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E172BE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953824,6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E172BE" w:rsidP="007D58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27310,4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6A3" w:rsidRPr="006F41D5" w:rsidRDefault="00E172BE" w:rsidP="007D58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726922,0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6A3" w:rsidRPr="006F41D5" w:rsidRDefault="00E172BE" w:rsidP="007D58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736046,4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6A3" w:rsidRPr="006F41D5" w:rsidRDefault="00E172BE" w:rsidP="0069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9124,4</w:t>
            </w:r>
          </w:p>
        </w:tc>
      </w:tr>
    </w:tbl>
    <w:p w:rsidR="00D379CB" w:rsidRPr="00D379CB" w:rsidRDefault="007B6BE8" w:rsidP="00D379C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В целом, с учетом вносимых изменений общий объем бюджетных назначений 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увеличиваются на 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202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год 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а 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27310,4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 и состав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 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953824,6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,</w:t>
      </w:r>
      <w:r w:rsidR="00E0758D" w:rsidRP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E0758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2026 год на 9124,4 тыс. рублей и составят 736046,4 тыс. рублей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  <w:r w:rsidR="003B382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Вносимые изменения </w:t>
      </w:r>
      <w:r w:rsidR="00D379C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на 2025 год </w:t>
      </w:r>
      <w:r w:rsidR="003B382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обусловлены </w:t>
      </w:r>
      <w:r w:rsidR="00D379C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увеличением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379CB"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реализацию мероприятий по организации школьных музеев  +1 000,0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проведение мероприятий по созданию агроклассов и (или) лесных классов в общеобразовательных организациях +1 925,9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укрепление материально-технической базы муниципальных физкультурно-спортивных организаций +528,0 тыс.руб. (МБУ «Дворец спорта»);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обустройство контейнерных площадок +3 700,0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обустройство систем уличного освещения +2 161,1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субвенции на проектирование и строительство распределительных газовых сетей +16 200,0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создание и (или) ремонт источников наружного водоснабжения для забора воды в целях пожаротушения +1 588,0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доставку товаров в социально-значимые магазины в малонаселенных и (или) труднодоступных населенных пунктах +207,4 тыс.руб.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На 2026 год увеличение планируется за счет средств областного бюджета: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субсидии на проведение мероприятий по созданию агроклассов и (или) лесных классов в общеобразовательных организациях +3 235,4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укрепление материально-технической базы муниципальных физкультурно-спортивных организаций +528,0 тыс.руб. (МБУ «Дворец спорта»);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обустройство контейнерных площадок +2 000,0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обустройство систем уличного освещения +2 161,1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создание и (или) ремонт источников наружного водоснабжения для забора воды в целях пожаротушения +992,5 тыс.руб.;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субсидии на доставку товаров в социально-значимые магазины в малонаселенных и (или) труднодоступных населенных пунктах +207,4 тыс.руб.</w:t>
      </w:r>
    </w:p>
    <w:p w:rsidR="00D379CB" w:rsidRPr="00D379CB" w:rsidRDefault="00D379CB" w:rsidP="00D37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CB">
        <w:rPr>
          <w:rFonts w:ascii="Times New Roman" w:eastAsia="Times New Roman" w:hAnsi="Times New Roman"/>
          <w:sz w:val="28"/>
          <w:szCs w:val="28"/>
          <w:lang w:eastAsia="ru-RU"/>
        </w:rPr>
        <w:t>А так же на 2025 и 2026 годы планируется перенос ассигнований за счет бюджета округа с содержания администрации округа на софинансирование вышеперечисленных субсидий.</w:t>
      </w:r>
    </w:p>
    <w:p w:rsidR="00472678" w:rsidRPr="00472678" w:rsidRDefault="002C0FE5" w:rsidP="00D379CB">
      <w:pPr>
        <w:widowControl w:val="0"/>
        <w:autoSpaceDE w:val="0"/>
        <w:autoSpaceDN w:val="0"/>
        <w:adjustRightInd w:val="0"/>
        <w:spacing w:before="100"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Изменения, вносимые в проект решения ведомственной структуры расходов бюджета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6C23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общую сумму </w:t>
      </w:r>
      <w:r w:rsidR="00F66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52125,</w:t>
      </w:r>
      <w:r w:rsidR="00F66EC6" w:rsidRPr="00F66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472678" w:rsidRPr="00F66EC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472678" w:rsidRPr="00472678" w:rsidRDefault="003B382C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6C23D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представлены в таблице №3.</w:t>
      </w:r>
    </w:p>
    <w:p w:rsidR="00472678" w:rsidRPr="00472678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№3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472678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округа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от </w:t>
            </w:r>
            <w:r w:rsidR="006C23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28.12.2023</w:t>
            </w:r>
          </w:p>
          <w:p w:rsidR="00472678" w:rsidRPr="00472678" w:rsidRDefault="00472678" w:rsidP="004D09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6C23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DE6437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1013498,6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DE6437" w:rsidRDefault="002351CA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1065624,1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DE6437" w:rsidRDefault="002351CA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52125,5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214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Pr="00472678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Финансовое управление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472678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11384,0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C23D0" w:rsidRPr="00472678" w:rsidRDefault="006C23D0" w:rsidP="006C23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12082,0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472678" w:rsidRDefault="002351CA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698,0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99B" w:rsidRPr="00472678" w:rsidRDefault="004D099B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Первомайское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Pr="00472678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11852,9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099B" w:rsidRPr="00472678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12817,1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099B" w:rsidRPr="00472678" w:rsidRDefault="002351CA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964,2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Белокрестское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31563,0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99B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33134,5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99B" w:rsidRDefault="002351CA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1571,5</w:t>
            </w:r>
          </w:p>
        </w:tc>
      </w:tr>
      <w:tr w:rsidR="004D099B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Сазоновское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3D0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26538,9</w:t>
            </w:r>
          </w:p>
          <w:p w:rsidR="006C23D0" w:rsidRPr="00472678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99B" w:rsidRPr="00472678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32996,5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D099B" w:rsidRPr="00472678" w:rsidRDefault="002351CA" w:rsidP="00270C1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6457,</w:t>
            </w:r>
            <w:r w:rsidR="00270C1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4D099B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Чагодское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30372,9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44504,3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2351CA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14131,4</w:t>
            </w:r>
          </w:p>
        </w:tc>
      </w:tr>
      <w:tr w:rsidR="006C23D0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23D0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C23D0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Контрольно-счетная комиссия 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23D0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1299,5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23D0" w:rsidRDefault="006C23D0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1359,5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23D0" w:rsidRDefault="002351CA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60,0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578185,0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D3288C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599036,4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2351CA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20851,4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lastRenderedPageBreak/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Pr="00472678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Управление образования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313389,6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D3288C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319311,1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2351CA" w:rsidP="00270C1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5921,</w:t>
            </w:r>
            <w:r w:rsidR="00270C1F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</w:tr>
      <w:tr w:rsidR="004D099B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4D099B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D099B" w:rsidRDefault="004D099B" w:rsidP="008673F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Комитет по управлению имуществом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6C23D0" w:rsidP="00474AE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8912,9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D099B" w:rsidRDefault="00FE126C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10382,6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099B" w:rsidRDefault="00FE126C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1469,7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2351C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увеличением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2351C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52125,5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</w:t>
      </w:r>
      <w:r w:rsidR="002351C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всем девяти 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главным распорядителям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594A54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7448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«Распределение бюджетных ассигнований на реализацию муниципальных программ на 20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45159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2023 году  представлены в таблице №</w:t>
      </w:r>
      <w:r w:rsidR="005E1F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5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475" w:type="dxa"/>
        <w:tblInd w:w="96" w:type="dxa"/>
        <w:tblLook w:val="04A0"/>
      </w:tblPr>
      <w:tblGrid>
        <w:gridCol w:w="3887"/>
        <w:gridCol w:w="1847"/>
        <w:gridCol w:w="1158"/>
        <w:gridCol w:w="1520"/>
        <w:gridCol w:w="1063"/>
      </w:tblGrid>
      <w:tr w:rsidR="00C048B8" w:rsidRPr="00474AE2" w:rsidTr="00603531">
        <w:trPr>
          <w:trHeight w:val="936"/>
        </w:trPr>
        <w:tc>
          <w:tcPr>
            <w:tcW w:w="3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Утверждено решением Представительного Собрания округа от 22.12.2022 № 61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% изменения </w:t>
            </w:r>
          </w:p>
        </w:tc>
      </w:tr>
      <w:tr w:rsidR="00C048B8" w:rsidRPr="00474AE2" w:rsidTr="00603531">
        <w:trPr>
          <w:trHeight w:val="504"/>
        </w:trPr>
        <w:tc>
          <w:tcPr>
            <w:tcW w:w="3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048B8" w:rsidRPr="00474AE2" w:rsidTr="00603531">
        <w:trPr>
          <w:trHeight w:val="300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1009943,4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1061857,3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51913,9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AB0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2023 - 202</w:t>
            </w:r>
            <w:r w:rsidR="00AB04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76798,2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82908,3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6110,1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  <w:r w:rsidR="00474AE2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Чагодощенского муниципального округа на 2023-2029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11384,0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12082,0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515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6,1</w:t>
            </w:r>
            <w:r w:rsidR="00474AE2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10518,2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12077,8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1559,6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14,8</w:t>
            </w:r>
            <w:r w:rsidR="00474AE2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451591" w:rsidRPr="00474AE2" w:rsidTr="00603531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591" w:rsidRPr="00474AE2" w:rsidRDefault="00451591" w:rsidP="0060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сф</w:t>
            </w:r>
            <w:r w:rsidR="006035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ры информационных технологий в администрации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Чагодощенского муниципального округа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91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91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91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91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78102,1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85693,8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AE2" w:rsidRPr="00474AE2" w:rsidRDefault="0045159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  <w:r w:rsidR="00474AE2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485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жилищно-коммунального хозяйства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205925,0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215048,0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9123,0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4,4%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158830,0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149474,2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-9355,8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-5,9</w:t>
            </w: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C048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Проект» «Народный бюджет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 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48B8" w:rsidRPr="00474AE2" w:rsidTr="00603531">
        <w:trPr>
          <w:trHeight w:val="98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34561,0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43542,9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8981,9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15545,6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16311,2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4,9</w:t>
            </w: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C048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Единой дежарно-диспетчерской службы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ниципального округа на 2023-2026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2244,7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2398,0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Default="00C048B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6,8%</w:t>
            </w:r>
          </w:p>
        </w:tc>
      </w:tr>
      <w:tr w:rsidR="00C048B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8B8" w:rsidRPr="00474AE2" w:rsidRDefault="00C048B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312991,5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318888,0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5896,5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8B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1,9</w:t>
            </w:r>
            <w:r w:rsidR="00C048B8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F368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88" w:rsidRPr="00474AE2" w:rsidRDefault="00DF3688" w:rsidP="00DF3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физической культуры и спорта в в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Чагодощенского муниципального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2703,6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30,0%</w:t>
            </w:r>
          </w:p>
        </w:tc>
      </w:tr>
      <w:tr w:rsidR="00DF368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88" w:rsidRPr="00474AE2" w:rsidRDefault="00DF368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"Сохранение и развитие культурного потенциала  Чагодощенского муниципального округа на 2023-2025 годы"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70888,3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73266,3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DF368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2378,0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3,4</w:t>
            </w:r>
            <w:r w:rsidR="00DF3688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F368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88" w:rsidRPr="00474AE2" w:rsidRDefault="00DF3688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Чагодощенского муниципального округа на 2023-2025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7481,4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16941,4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126,4</w:t>
            </w:r>
            <w:r w:rsidR="00DF3688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F3688" w:rsidRPr="00474AE2" w:rsidTr="00603531">
        <w:trPr>
          <w:trHeight w:val="744"/>
        </w:trPr>
        <w:tc>
          <w:tcPr>
            <w:tcW w:w="3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88" w:rsidRPr="00474AE2" w:rsidRDefault="00DF3688" w:rsidP="00603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 w:rsidR="006035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малого и среднего предпринимательства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Чагодощенском муниципальном округе на 2023-202</w:t>
            </w:r>
            <w:r w:rsidR="006035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218,3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3688" w:rsidRPr="00474AE2" w:rsidRDefault="0060353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46,8</w:t>
            </w:r>
            <w:r w:rsidR="00DF3688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</w:tbl>
    <w:p w:rsidR="00474AE2" w:rsidRDefault="00474AE2" w:rsidP="007448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>Проект решения предусматривает изменения в 202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по </w:t>
      </w:r>
      <w:r w:rsidR="0074486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программам, в том числе по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15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ым программам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планируется увеличение бюджетных назначений в целом на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61269,7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рублей, а по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ой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программ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е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—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бюджетных назначений на общую сумму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9355,8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Расходы</w:t>
      </w:r>
      <w:r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на реализацию муниципальных программ в целом увеличиваются на </w:t>
      </w:r>
      <w:r w:rsidR="00603531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>51913,9</w:t>
      </w:r>
      <w:r w:rsidRPr="002C0FE5">
        <w:rPr>
          <w:rFonts w:ascii="Times New Roman" w:eastAsia="Times New Roman CYR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тыс. рублей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, или на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5,1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 вносимых изменений в 202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1061857,3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6F4C7B" w:rsidRDefault="002C0FE5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</w:p>
    <w:p w:rsidR="004856F6" w:rsidRDefault="00FD0AB3" w:rsidP="004856F6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4 - 2025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ах  представлены в таблице №</w:t>
      </w:r>
      <w:r w:rsidR="005E1F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Pr="00FD0AB3" w:rsidRDefault="00FD0AB3" w:rsidP="006F4C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6</w:t>
      </w:r>
      <w:r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6F4C7B">
        <w:rPr>
          <w:rFonts w:ascii="Times New Roman" w:eastAsia="Times New Roman" w:hAnsi="Times New Roman"/>
          <w:sz w:val="20"/>
          <w:szCs w:val="20"/>
          <w:lang w:eastAsia="ar-SA"/>
        </w:rPr>
        <w:t>(т</w:t>
      </w:r>
      <w:r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ыс. рублей)</w:t>
      </w:r>
    </w:p>
    <w:tbl>
      <w:tblPr>
        <w:tblW w:w="9660" w:type="dxa"/>
        <w:tblInd w:w="90" w:type="dxa"/>
        <w:tblLayout w:type="fixed"/>
        <w:tblLook w:val="0000"/>
      </w:tblPr>
      <w:tblGrid>
        <w:gridCol w:w="3704"/>
        <w:gridCol w:w="992"/>
        <w:gridCol w:w="992"/>
        <w:gridCol w:w="993"/>
        <w:gridCol w:w="993"/>
        <w:gridCol w:w="993"/>
        <w:gridCol w:w="993"/>
      </w:tblGrid>
      <w:tr w:rsidR="00AB041D" w:rsidRPr="002C0FE5" w:rsidTr="004856F6">
        <w:trPr>
          <w:trHeight w:val="366"/>
          <w:tblHeader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</w:tr>
      <w:tr w:rsidR="00AB041D" w:rsidRPr="002C0FE5" w:rsidTr="004856F6">
        <w:trPr>
          <w:trHeight w:val="366"/>
          <w:tblHeader/>
        </w:trPr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2025 год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2025 год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2026 год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2026 год</w:t>
            </w:r>
          </w:p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B041D" w:rsidTr="00AB041D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43247F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914083,6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Default="0043247F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941394,3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27310,7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43247F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703887,0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43247F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713011,4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9124,4</w:t>
            </w:r>
          </w:p>
        </w:tc>
      </w:tr>
      <w:tr w:rsidR="00AB041D" w:rsidTr="00AB041D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AB04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"Совершенствование муниципального управления в Чагодощенском муниципальном округе на 2023 - 202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76919,1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74381,7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-2537,4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80039,4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78824,8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-1214,6</w:t>
            </w:r>
          </w:p>
        </w:tc>
      </w:tr>
      <w:tr w:rsidR="00AB041D" w:rsidTr="00AB041D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B041D" w:rsidP="00AB04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профилактики правонарушений, безопасности населения и территории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Чагодощенском муниципальном округе на 2023 - 202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B041D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3955,1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1985</w:t>
            </w:r>
          </w:p>
        </w:tc>
      </w:tr>
      <w:tr w:rsidR="00AB041D" w:rsidTr="00AB041D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386B" w:rsidRDefault="00E4386B" w:rsidP="00E43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жилищно-коммунального  хозяйства </w:t>
            </w:r>
          </w:p>
          <w:p w:rsidR="00AB041D" w:rsidRPr="002C0FE5" w:rsidRDefault="00E4386B" w:rsidP="00E43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годощенского муниципального округа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E4386B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335560,0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352435,0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16875,0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AB041D" w:rsidTr="00AE002A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41D" w:rsidRPr="002C0FE5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18611,9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24677,4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6065,5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18426,1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22739,1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1D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4313,0</w:t>
            </w:r>
          </w:p>
        </w:tc>
      </w:tr>
      <w:tr w:rsidR="00AE002A" w:rsidTr="00AE002A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E002A" w:rsidRPr="00474AE2" w:rsidRDefault="00AE002A" w:rsidP="00485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326669,7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329596,2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2926,5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289148,8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292384,8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3236,0</w:t>
            </w:r>
          </w:p>
        </w:tc>
      </w:tr>
      <w:tr w:rsidR="00AE002A" w:rsidTr="00AE002A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E002A" w:rsidRPr="00474AE2" w:rsidRDefault="00AE002A" w:rsidP="00485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физической культуры и спорта в в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Чагодощенского муниципального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8373,1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8494,9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9081,5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586,6</w:t>
            </w:r>
          </w:p>
        </w:tc>
      </w:tr>
      <w:tr w:rsidR="00AE002A" w:rsidTr="004856F6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002A" w:rsidRPr="00474AE2" w:rsidRDefault="00AE002A" w:rsidP="00485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малого и среднего предпринимательства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Чагодощенском муниципальном округе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2A" w:rsidRDefault="00AE002A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2A" w:rsidRDefault="00B453A6" w:rsidP="004856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218,3</w:t>
            </w:r>
          </w:p>
        </w:tc>
      </w:tr>
    </w:tbl>
    <w:p w:rsidR="00AB041D" w:rsidRDefault="00AB041D" w:rsidP="00296C4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</w:p>
    <w:p w:rsidR="0043247F" w:rsidRPr="002C0FE5" w:rsidRDefault="001926AD" w:rsidP="0043247F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95578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На реализацию муниципальных программ в 202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95578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– 202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</w:t>
      </w:r>
      <w:r w:rsidR="00955784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годах п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роект решения предусматривает 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увеличение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бюджетных назначений</w:t>
      </w:r>
      <w:r w:rsidR="00296C4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на 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27310,6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тыс. рублей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и 9124,4 тыс. рублей соответственно.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202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изменение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планируется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по 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7</w:t>
      </w:r>
      <w:r w:rsidR="00F923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униципальн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ым 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программ</w:t>
      </w:r>
      <w:r w:rsidR="002048E6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ам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, о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бщий объем программных расходов в бюджете округа с учетом вносимых изменений в 202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296C4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F923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3247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941394,3</w:t>
      </w:r>
      <w:r w:rsidR="00F923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рублей.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2026 году увеличение планируется </w:t>
      </w:r>
      <w:r w:rsidR="0043247F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по 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6м</w:t>
      </w:r>
      <w:r w:rsidR="0043247F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униципальн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ым </w:t>
      </w:r>
      <w:r w:rsidR="0043247F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программ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ам, о</w:t>
      </w:r>
      <w:r w:rsidR="0043247F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бщий объем программных расходов в бюджете округа с учетом вносимых изменений в 202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6</w:t>
      </w:r>
      <w:r w:rsidR="0043247F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43247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713011,4</w:t>
      </w:r>
      <w:r w:rsidR="0043247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3247F" w:rsidRP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</w:t>
      </w:r>
      <w:r w:rsidR="0043247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рублей.</w:t>
      </w:r>
    </w:p>
    <w:p w:rsidR="004A6333" w:rsidRDefault="0086109F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В результате анализа вносимы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 изменений в бюджет округа 2024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и плановый период 202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годов, расхождений с требованиями бюджетного законодательства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50529" w:rsidRDefault="00250529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2C0FE5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в 202</w:t>
      </w:r>
      <w:r w:rsidR="004856F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4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1038093,9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24595,3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105624,1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52125,5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27530,2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FF1279" w:rsidRPr="000C064D" w:rsidRDefault="001926AD" w:rsidP="001926AD">
      <w:pPr>
        <w:suppressAutoHyphens/>
        <w:autoSpaceDE w:val="0"/>
        <w:spacing w:after="0" w:line="240" w:lineRule="auto"/>
        <w:ind w:left="72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плановом периоде 202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изменений доходы и расходы бюджета округа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увеличены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27310,4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953824,6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в 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202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6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изменений доходы и расходы бюджета округа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увеличены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9124,4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4856F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736046,4</w:t>
      </w:r>
      <w:r w:rsidR="004856F6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</w:t>
      </w:r>
      <w:r w:rsidR="00FF1279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:rsidR="002C0FE5" w:rsidRPr="002C0FE5" w:rsidRDefault="001926AD" w:rsidP="001926AD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2.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увеличен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24595,3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841003,9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налоговым и неналоговым доходам план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изменился.</w:t>
      </w:r>
    </w:p>
    <w:p w:rsidR="001926AD" w:rsidRDefault="001926AD" w:rsidP="001926AD">
      <w:pPr>
        <w:suppressAutoHyphens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Бюджетные ассигнования на реализацию муниципальных программ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увелич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ить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51913,9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1061857,3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16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муниципальным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926AD" w:rsidRPr="001926AD" w:rsidRDefault="001926AD" w:rsidP="001926AD">
      <w:pPr>
        <w:pStyle w:val="a8"/>
        <w:tabs>
          <w:tab w:val="left" w:pos="-54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Pr="001926A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На реализацию муниципальных программ в 2025 – 2026 годах проект решения предусматривает увеличение бюджетных назначений на 27310,6 тыс. рублей и 91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24,4 тыс. рублей соответственно и составят 941394,3 тыс.рублей и 713011,4 тыс.рублей.</w:t>
      </w:r>
      <w:r w:rsidRPr="001926A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FF1279" w:rsidRDefault="001926AD" w:rsidP="001926AD">
      <w:pPr>
        <w:suppressAutoHyphens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увеличится и составит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2730,2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2C0FE5" w:rsidRPr="002C0FE5" w:rsidRDefault="001926AD" w:rsidP="001926AD">
      <w:pPr>
        <w:suppressAutoHyphens/>
        <w:spacing w:after="0" w:line="240" w:lineRule="auto"/>
        <w:ind w:left="714" w:firstLine="70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</w:t>
      </w:r>
      <w:r w:rsidR="00963E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учетом предложений</w:t>
      </w:r>
      <w:r w:rsidR="008123C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КСК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2C0FE5" w:rsidRPr="002C0FE5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p w:rsidR="00D933F2" w:rsidRDefault="00D933F2"/>
    <w:sectPr w:rsidR="00D933F2" w:rsidSect="001926AD">
      <w:footerReference w:type="default" r:id="rId8"/>
      <w:pgSz w:w="11906" w:h="16838"/>
      <w:pgMar w:top="284" w:right="850" w:bottom="1276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FF" w:rsidRDefault="00D71EFF">
      <w:pPr>
        <w:spacing w:after="0" w:line="240" w:lineRule="auto"/>
      </w:pPr>
      <w:r>
        <w:separator/>
      </w:r>
    </w:p>
  </w:endnote>
  <w:endnote w:type="continuationSeparator" w:id="1">
    <w:p w:rsidR="00D71EFF" w:rsidRDefault="00D7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RDefault="004856F6">
    <w:pPr>
      <w:pStyle w:val="a3"/>
      <w:jc w:val="center"/>
    </w:pPr>
    <w:fldSimple w:instr=" PAGE ">
      <w:r w:rsidR="00B453A6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FF" w:rsidRDefault="00D71EFF">
      <w:pPr>
        <w:spacing w:after="0" w:line="240" w:lineRule="auto"/>
      </w:pPr>
      <w:r>
        <w:separator/>
      </w:r>
    </w:p>
  </w:footnote>
  <w:footnote w:type="continuationSeparator" w:id="1">
    <w:p w:rsidR="00D71EFF" w:rsidRDefault="00D7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7F10CA0"/>
    <w:multiLevelType w:val="hybridMultilevel"/>
    <w:tmpl w:val="717C09DE"/>
    <w:lvl w:ilvl="0" w:tplc="0A6A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6506D"/>
    <w:rsid w:val="000656A3"/>
    <w:rsid w:val="000740DA"/>
    <w:rsid w:val="00080A67"/>
    <w:rsid w:val="0008307C"/>
    <w:rsid w:val="00083D87"/>
    <w:rsid w:val="00093170"/>
    <w:rsid w:val="000A0940"/>
    <w:rsid w:val="000A213F"/>
    <w:rsid w:val="000A7C10"/>
    <w:rsid w:val="000B2351"/>
    <w:rsid w:val="000C064D"/>
    <w:rsid w:val="000F4560"/>
    <w:rsid w:val="000F79FD"/>
    <w:rsid w:val="00114210"/>
    <w:rsid w:val="00137B9D"/>
    <w:rsid w:val="00172F87"/>
    <w:rsid w:val="00177A9F"/>
    <w:rsid w:val="00190D49"/>
    <w:rsid w:val="001926AD"/>
    <w:rsid w:val="001A4EE7"/>
    <w:rsid w:val="001D1ECA"/>
    <w:rsid w:val="002048E6"/>
    <w:rsid w:val="00226450"/>
    <w:rsid w:val="002351CA"/>
    <w:rsid w:val="00250529"/>
    <w:rsid w:val="00253777"/>
    <w:rsid w:val="00270C1F"/>
    <w:rsid w:val="002908FD"/>
    <w:rsid w:val="002968B9"/>
    <w:rsid w:val="00296C45"/>
    <w:rsid w:val="002A3AFA"/>
    <w:rsid w:val="002C0FE5"/>
    <w:rsid w:val="002C3B76"/>
    <w:rsid w:val="00355877"/>
    <w:rsid w:val="003638AF"/>
    <w:rsid w:val="00370CB7"/>
    <w:rsid w:val="00395205"/>
    <w:rsid w:val="00395E0F"/>
    <w:rsid w:val="003A476E"/>
    <w:rsid w:val="003A68C8"/>
    <w:rsid w:val="003B382C"/>
    <w:rsid w:val="003F3C99"/>
    <w:rsid w:val="00405070"/>
    <w:rsid w:val="00427172"/>
    <w:rsid w:val="0043247F"/>
    <w:rsid w:val="00451591"/>
    <w:rsid w:val="00452832"/>
    <w:rsid w:val="00470A79"/>
    <w:rsid w:val="00472678"/>
    <w:rsid w:val="00474AE2"/>
    <w:rsid w:val="004856F6"/>
    <w:rsid w:val="00492A45"/>
    <w:rsid w:val="004A6333"/>
    <w:rsid w:val="004B062D"/>
    <w:rsid w:val="004C6185"/>
    <w:rsid w:val="004C6273"/>
    <w:rsid w:val="004D099B"/>
    <w:rsid w:val="004D4CB3"/>
    <w:rsid w:val="004F09D4"/>
    <w:rsid w:val="0050005F"/>
    <w:rsid w:val="00501EDD"/>
    <w:rsid w:val="00515B2A"/>
    <w:rsid w:val="00516E23"/>
    <w:rsid w:val="005322D1"/>
    <w:rsid w:val="0053673B"/>
    <w:rsid w:val="005620BB"/>
    <w:rsid w:val="005645E6"/>
    <w:rsid w:val="00575B26"/>
    <w:rsid w:val="005843E5"/>
    <w:rsid w:val="00594A54"/>
    <w:rsid w:val="005D4A35"/>
    <w:rsid w:val="005D64FE"/>
    <w:rsid w:val="005E1F2E"/>
    <w:rsid w:val="005E5353"/>
    <w:rsid w:val="005F263E"/>
    <w:rsid w:val="00603531"/>
    <w:rsid w:val="00604D68"/>
    <w:rsid w:val="0060687E"/>
    <w:rsid w:val="006205CA"/>
    <w:rsid w:val="00633CFA"/>
    <w:rsid w:val="00647161"/>
    <w:rsid w:val="00660CAD"/>
    <w:rsid w:val="00685616"/>
    <w:rsid w:val="0068788D"/>
    <w:rsid w:val="00693B9E"/>
    <w:rsid w:val="006A0FB8"/>
    <w:rsid w:val="006C23D0"/>
    <w:rsid w:val="006D6965"/>
    <w:rsid w:val="006E1F89"/>
    <w:rsid w:val="006F41D5"/>
    <w:rsid w:val="006F4C7B"/>
    <w:rsid w:val="006F4D11"/>
    <w:rsid w:val="00712F2E"/>
    <w:rsid w:val="00744868"/>
    <w:rsid w:val="00755856"/>
    <w:rsid w:val="00772A4F"/>
    <w:rsid w:val="00781EB5"/>
    <w:rsid w:val="00782E10"/>
    <w:rsid w:val="007A5920"/>
    <w:rsid w:val="007A707C"/>
    <w:rsid w:val="007B3AC8"/>
    <w:rsid w:val="007B6BE8"/>
    <w:rsid w:val="007C2558"/>
    <w:rsid w:val="007C3B02"/>
    <w:rsid w:val="007D5833"/>
    <w:rsid w:val="007E001D"/>
    <w:rsid w:val="008123CD"/>
    <w:rsid w:val="0081526B"/>
    <w:rsid w:val="00815605"/>
    <w:rsid w:val="00856218"/>
    <w:rsid w:val="0086109F"/>
    <w:rsid w:val="00865681"/>
    <w:rsid w:val="008673F7"/>
    <w:rsid w:val="00894411"/>
    <w:rsid w:val="008A0D30"/>
    <w:rsid w:val="008A1D53"/>
    <w:rsid w:val="008A22EB"/>
    <w:rsid w:val="008A6CA5"/>
    <w:rsid w:val="008B4C70"/>
    <w:rsid w:val="008D6277"/>
    <w:rsid w:val="00902967"/>
    <w:rsid w:val="009457F2"/>
    <w:rsid w:val="00955784"/>
    <w:rsid w:val="0095726E"/>
    <w:rsid w:val="00963E41"/>
    <w:rsid w:val="00966863"/>
    <w:rsid w:val="00973A89"/>
    <w:rsid w:val="00980D0E"/>
    <w:rsid w:val="009F6AC5"/>
    <w:rsid w:val="00A039FD"/>
    <w:rsid w:val="00A30B5D"/>
    <w:rsid w:val="00A51836"/>
    <w:rsid w:val="00A63619"/>
    <w:rsid w:val="00A77888"/>
    <w:rsid w:val="00A82070"/>
    <w:rsid w:val="00A94268"/>
    <w:rsid w:val="00A960E6"/>
    <w:rsid w:val="00AA16E5"/>
    <w:rsid w:val="00AB041D"/>
    <w:rsid w:val="00AE002A"/>
    <w:rsid w:val="00AF3059"/>
    <w:rsid w:val="00B22342"/>
    <w:rsid w:val="00B453A6"/>
    <w:rsid w:val="00B60D05"/>
    <w:rsid w:val="00B948B4"/>
    <w:rsid w:val="00B95C6E"/>
    <w:rsid w:val="00BB3317"/>
    <w:rsid w:val="00C0229E"/>
    <w:rsid w:val="00C048B8"/>
    <w:rsid w:val="00C248F3"/>
    <w:rsid w:val="00C332CB"/>
    <w:rsid w:val="00C4246A"/>
    <w:rsid w:val="00C508D7"/>
    <w:rsid w:val="00C7695E"/>
    <w:rsid w:val="00CA1607"/>
    <w:rsid w:val="00CA7719"/>
    <w:rsid w:val="00CB76D6"/>
    <w:rsid w:val="00CC4D5B"/>
    <w:rsid w:val="00CC4FF1"/>
    <w:rsid w:val="00CE68E2"/>
    <w:rsid w:val="00D27331"/>
    <w:rsid w:val="00D3288C"/>
    <w:rsid w:val="00D379CB"/>
    <w:rsid w:val="00D37E0B"/>
    <w:rsid w:val="00D635F6"/>
    <w:rsid w:val="00D63A9B"/>
    <w:rsid w:val="00D6661B"/>
    <w:rsid w:val="00D70418"/>
    <w:rsid w:val="00D71EFF"/>
    <w:rsid w:val="00D82979"/>
    <w:rsid w:val="00D878AB"/>
    <w:rsid w:val="00D90CED"/>
    <w:rsid w:val="00D933F2"/>
    <w:rsid w:val="00DA1A17"/>
    <w:rsid w:val="00DD7873"/>
    <w:rsid w:val="00DD7AB5"/>
    <w:rsid w:val="00DE6437"/>
    <w:rsid w:val="00DF3688"/>
    <w:rsid w:val="00E05CD9"/>
    <w:rsid w:val="00E0758D"/>
    <w:rsid w:val="00E172BE"/>
    <w:rsid w:val="00E341C9"/>
    <w:rsid w:val="00E35E1C"/>
    <w:rsid w:val="00E4386B"/>
    <w:rsid w:val="00E47165"/>
    <w:rsid w:val="00E73563"/>
    <w:rsid w:val="00EB067E"/>
    <w:rsid w:val="00EB520F"/>
    <w:rsid w:val="00EB64B5"/>
    <w:rsid w:val="00ED132D"/>
    <w:rsid w:val="00EE51DA"/>
    <w:rsid w:val="00F010BB"/>
    <w:rsid w:val="00F01783"/>
    <w:rsid w:val="00F030DC"/>
    <w:rsid w:val="00F217B3"/>
    <w:rsid w:val="00F21E8E"/>
    <w:rsid w:val="00F26513"/>
    <w:rsid w:val="00F408AE"/>
    <w:rsid w:val="00F42DC8"/>
    <w:rsid w:val="00F52D27"/>
    <w:rsid w:val="00F66EC6"/>
    <w:rsid w:val="00F923FA"/>
    <w:rsid w:val="00FD0AB3"/>
    <w:rsid w:val="00FD599B"/>
    <w:rsid w:val="00FE126C"/>
    <w:rsid w:val="00FE642A"/>
    <w:rsid w:val="00FF1279"/>
    <w:rsid w:val="00FF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7A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ADC-4622-45DE-977D-8949754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14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102</cp:revision>
  <cp:lastPrinted>2024-03-28T10:06:00Z</cp:lastPrinted>
  <dcterms:created xsi:type="dcterms:W3CDTF">2023-04-27T07:15:00Z</dcterms:created>
  <dcterms:modified xsi:type="dcterms:W3CDTF">2024-03-28T10:23:00Z</dcterms:modified>
</cp:coreProperties>
</file>