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A30899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F56AA5" w:rsidRDefault="00A12122" w:rsidP="00886F2C">
      <w:pPr>
        <w:jc w:val="center"/>
        <w:rPr>
          <w:b/>
          <w:sz w:val="28"/>
          <w:szCs w:val="28"/>
        </w:rPr>
      </w:pPr>
      <w:r w:rsidRPr="003676C5">
        <w:rPr>
          <w:b/>
          <w:sz w:val="28"/>
          <w:szCs w:val="28"/>
        </w:rPr>
        <w:t xml:space="preserve">Заключение № </w:t>
      </w:r>
      <w:r w:rsidR="003676C5" w:rsidRPr="003676C5">
        <w:rPr>
          <w:b/>
          <w:sz w:val="28"/>
          <w:szCs w:val="28"/>
        </w:rPr>
        <w:t>1</w:t>
      </w:r>
    </w:p>
    <w:p w:rsidR="00F56AA5" w:rsidRDefault="00A12122" w:rsidP="00A308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A30899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— 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 w:rsidR="00A30899">
        <w:rPr>
          <w:rFonts w:eastAsia="Calibri"/>
          <w:b/>
          <w:sz w:val="28"/>
          <w:szCs w:val="28"/>
        </w:rPr>
        <w:t>ко</w:t>
      </w:r>
      <w:proofErr w:type="gramEnd"/>
      <w:r w:rsidR="00A30899">
        <w:rPr>
          <w:rFonts w:eastAsia="Calibri"/>
          <w:b/>
          <w:sz w:val="28"/>
          <w:szCs w:val="28"/>
        </w:rPr>
        <w:t xml:space="preserve">нтрольно-счетной комиссии </w:t>
      </w:r>
      <w:r>
        <w:rPr>
          <w:rFonts w:eastAsia="Calibri"/>
          <w:b/>
          <w:sz w:val="28"/>
          <w:szCs w:val="28"/>
        </w:rPr>
        <w:t xml:space="preserve"> </w:t>
      </w:r>
      <w:r w:rsidR="00A30899">
        <w:rPr>
          <w:rFonts w:eastAsia="Calibri"/>
          <w:b/>
          <w:sz w:val="28"/>
          <w:szCs w:val="28"/>
        </w:rPr>
        <w:t>Чагодощенского</w:t>
      </w:r>
      <w:r>
        <w:rPr>
          <w:rFonts w:eastAsia="Calibri"/>
          <w:b/>
          <w:sz w:val="28"/>
          <w:szCs w:val="28"/>
        </w:rPr>
        <w:t xml:space="preserve"> 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 за 202</w:t>
      </w:r>
      <w:r w:rsidR="00E416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A30899" w:rsidP="00886F2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A12122">
        <w:rPr>
          <w:sz w:val="28"/>
          <w:szCs w:val="28"/>
        </w:rPr>
        <w:t xml:space="preserve">. </w:t>
      </w:r>
      <w:r>
        <w:rPr>
          <w:sz w:val="28"/>
          <w:szCs w:val="28"/>
        </w:rPr>
        <w:t>Чагода</w:t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  <w:t xml:space="preserve">   </w:t>
      </w:r>
      <w:r w:rsidR="00A12122" w:rsidRPr="003676C5">
        <w:rPr>
          <w:sz w:val="28"/>
          <w:szCs w:val="28"/>
        </w:rPr>
        <w:t>«</w:t>
      </w:r>
      <w:r w:rsidR="002805A8">
        <w:rPr>
          <w:sz w:val="28"/>
          <w:szCs w:val="28"/>
        </w:rPr>
        <w:t>29</w:t>
      </w:r>
      <w:r w:rsidR="00A12122" w:rsidRPr="003676C5">
        <w:rPr>
          <w:sz w:val="28"/>
          <w:szCs w:val="28"/>
        </w:rPr>
        <w:t>» марта 202</w:t>
      </w:r>
      <w:r w:rsidR="00E4168D" w:rsidRPr="003676C5">
        <w:rPr>
          <w:sz w:val="28"/>
          <w:szCs w:val="28"/>
        </w:rPr>
        <w:t>4</w:t>
      </w:r>
      <w:r w:rsidR="00A12122" w:rsidRPr="003676C5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proofErr w:type="gramStart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– </w:t>
      </w:r>
      <w:r w:rsidR="00A30899" w:rsidRPr="00A30899">
        <w:rPr>
          <w:rFonts w:eastAsia="Calibri"/>
          <w:sz w:val="28"/>
          <w:szCs w:val="28"/>
        </w:rPr>
        <w:t>контрольно-счетной комиссии  Чагодощенского</w:t>
      </w:r>
      <w:r w:rsidR="00A30899">
        <w:rPr>
          <w:rFonts w:eastAsia="Calibri"/>
          <w:b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8A42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контрольно-счетная комиссия,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КСК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ст.264.4Бюджетного кодекса Российской Федерации (далее - БК РФ), Федерального</w:t>
      </w:r>
      <w:r w:rsidR="00D715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закона от 07.02.2011 № 6-ФЗ «Об общих принципах организации идеятельности контрольно-счетных органов субъектов Российской Федерациии муниципальных образований», Положения о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онтрольно-счетной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комиссии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Вологодской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области,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утвержденного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Представительным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Собранием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D715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.10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Плана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работы 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онтрольно-счетной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год.</w:t>
      </w:r>
    </w:p>
    <w:p w:rsidR="00BF6EB0" w:rsidRPr="00BF6EB0" w:rsidRDefault="00886F2C" w:rsidP="00BF6EB0">
      <w:pPr>
        <w:tabs>
          <w:tab w:val="left" w:pos="709"/>
        </w:tabs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Настоящее заключение подготовлено в соответствии с СВМФК</w:t>
      </w:r>
      <w:r w:rsidR="00687AC2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BF6EB0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br/>
      </w:r>
      <w:r w:rsidR="00BF6EB0" w:rsidRPr="00BF6EB0">
        <w:rPr>
          <w:rFonts w:eastAsia="Calibri"/>
          <w:sz w:val="28"/>
          <w:szCs w:val="28"/>
        </w:rPr>
        <w:t xml:space="preserve">«Проведение экспертно - аналитического мероприятия», утвержденным приказом </w:t>
      </w:r>
      <w:r w:rsidR="008A427B">
        <w:rPr>
          <w:rFonts w:eastAsia="Calibri"/>
          <w:sz w:val="28"/>
          <w:szCs w:val="28"/>
        </w:rPr>
        <w:t>к</w:t>
      </w:r>
      <w:r w:rsidR="00BF6EB0" w:rsidRPr="00BF6EB0">
        <w:rPr>
          <w:rFonts w:eastAsia="Calibri"/>
          <w:sz w:val="28"/>
          <w:szCs w:val="28"/>
        </w:rPr>
        <w:t>онтрольно - счетной комиссии от 0</w:t>
      </w:r>
      <w:r w:rsidR="008A427B">
        <w:rPr>
          <w:rFonts w:eastAsia="Calibri"/>
          <w:sz w:val="28"/>
          <w:szCs w:val="28"/>
        </w:rPr>
        <w:t>9</w:t>
      </w:r>
      <w:r w:rsidR="00BF6EB0" w:rsidRPr="00BF6EB0">
        <w:rPr>
          <w:rFonts w:eastAsia="Calibri"/>
          <w:sz w:val="28"/>
          <w:szCs w:val="28"/>
        </w:rPr>
        <w:t>.0</w:t>
      </w:r>
      <w:r w:rsidR="008A427B">
        <w:rPr>
          <w:rFonts w:eastAsia="Calibri"/>
          <w:sz w:val="28"/>
          <w:szCs w:val="28"/>
        </w:rPr>
        <w:t>1</w:t>
      </w:r>
      <w:r w:rsidR="00BF6EB0" w:rsidRPr="00BF6EB0">
        <w:rPr>
          <w:rFonts w:eastAsia="Calibri"/>
          <w:sz w:val="28"/>
          <w:szCs w:val="28"/>
        </w:rPr>
        <w:t>.2023 № 1</w:t>
      </w:r>
      <w:r w:rsidR="008A427B">
        <w:rPr>
          <w:rFonts w:eastAsia="Calibri"/>
          <w:sz w:val="28"/>
          <w:szCs w:val="28"/>
        </w:rPr>
        <w:t>5</w:t>
      </w:r>
      <w:r w:rsidR="00BF6EB0" w:rsidRPr="00BF6EB0">
        <w:rPr>
          <w:rFonts w:eastAsia="Calibri"/>
          <w:sz w:val="28"/>
          <w:szCs w:val="28"/>
        </w:rPr>
        <w:t xml:space="preserve"> о/</w:t>
      </w:r>
      <w:proofErr w:type="spellStart"/>
      <w:r w:rsidR="00BF6EB0" w:rsidRPr="00BF6EB0">
        <w:rPr>
          <w:rFonts w:eastAsia="Calibri"/>
          <w:sz w:val="28"/>
          <w:szCs w:val="28"/>
        </w:rPr>
        <w:t>д</w:t>
      </w:r>
      <w:proofErr w:type="spellEnd"/>
      <w:r w:rsidR="00BF6EB0" w:rsidRPr="00BF6EB0">
        <w:rPr>
          <w:rFonts w:eastAsia="Calibri"/>
          <w:sz w:val="28"/>
          <w:szCs w:val="28"/>
        </w:rPr>
        <w:t xml:space="preserve">,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а также СВМФК 2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«Проведение внешней проверки годового отчета об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исполнении местного бюджета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»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, утвержденного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приказом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к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онтрольно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-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счетной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комиссии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от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0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.0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3 №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 xml:space="preserve"> 18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о/д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</w:t>
      </w:r>
    </w:p>
    <w:p w:rsidR="00886F2C" w:rsidRDefault="00886F2C" w:rsidP="00BF6EB0">
      <w:pPr>
        <w:tabs>
          <w:tab w:val="left" w:pos="709"/>
        </w:tabs>
        <w:ind w:firstLine="567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7421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="008A42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онтрольно-счетной комиссии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за 2023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Общие положения (</w:t>
      </w: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Своевременность, достоверность, полнота бюджетнойотчетности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8A427B" w:rsidRPr="008A427B" w:rsidRDefault="008A427B" w:rsidP="008A427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Бюджетная отчетность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поступила 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контрольно-счетную комиссию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0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7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марта 2024 года, что соответствует сроку представления годовой бюджетной отчетности, установленному решением Представительно</w:t>
      </w:r>
      <w:r w:rsidR="003676C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го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Собрани</w:t>
      </w:r>
      <w:r w:rsidR="003676C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я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Чагодощенского муниципального округа  от 27.10.2022 года №23 </w:t>
      </w:r>
      <w:r w:rsidRPr="008A427B">
        <w:rPr>
          <w:kern w:val="0"/>
          <w:sz w:val="28"/>
          <w:szCs w:val="28"/>
          <w:lang w:eastAsia="ru-RU"/>
        </w:rPr>
        <w:t>«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Чагодощенском</w:t>
      </w:r>
      <w:proofErr w:type="spellEnd"/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муниципальном округе Вологодской области</w:t>
      </w:r>
      <w:r w:rsidRPr="008A427B">
        <w:rPr>
          <w:kern w:val="0"/>
          <w:sz w:val="28"/>
          <w:szCs w:val="28"/>
          <w:lang w:eastAsia="ru-RU"/>
        </w:rPr>
        <w:t xml:space="preserve">». 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2023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бюджетныхсредств, главного администратора, администратора источниковфинансирования дефицита бюджета, главного администратора,администратора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консолидируемым расчетам» (ф.0503125);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распорядителя, получателя бюджетных средств, главного администратора</w:t>
      </w:r>
      <w:proofErr w:type="gramStart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,а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дминистратора источников финансирования дефицита бюджета, главногоадминистратора,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0D52AE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63262F" w:rsidRDefault="0063262F" w:rsidP="00E24754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262F">
        <w:rPr>
          <w:rFonts w:ascii="TimesNewRomanPSMT" w:hAnsi="TimesNewRomanPSMT"/>
          <w:color w:val="000000"/>
          <w:sz w:val="28"/>
          <w:szCs w:val="28"/>
        </w:rPr>
        <w:t>-таблицы №</w:t>
      </w:r>
      <w:r w:rsidR="00E24754"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«Сведен</w:t>
      </w:r>
      <w:r w:rsidR="00E24754">
        <w:rPr>
          <w:rFonts w:ascii="TimesNewRomanPSMT" w:hAnsi="TimesNewRomanPSMT"/>
          <w:color w:val="000000"/>
          <w:sz w:val="28"/>
          <w:szCs w:val="28"/>
        </w:rPr>
        <w:t>ия о проведении инвентаризаций»;</w:t>
      </w:r>
    </w:p>
    <w:p w:rsidR="00E24754" w:rsidRPr="009C0A38" w:rsidRDefault="00E24754" w:rsidP="00E24754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</w:t>
      </w:r>
    </w:p>
    <w:p w:rsidR="00886F2C" w:rsidRPr="009C0A38" w:rsidRDefault="009C0A38" w:rsidP="000D52AE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E24754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554FDE">
        <w:rPr>
          <w:kern w:val="0"/>
          <w:sz w:val="28"/>
          <w:szCs w:val="28"/>
          <w:lang w:eastAsia="ru-RU"/>
        </w:rPr>
        <w:t xml:space="preserve"> </w:t>
      </w:r>
      <w:r w:rsidRPr="00E24754">
        <w:rPr>
          <w:kern w:val="0"/>
          <w:sz w:val="28"/>
          <w:szCs w:val="28"/>
          <w:lang w:eastAsia="ru-RU"/>
        </w:rPr>
        <w:t xml:space="preserve">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Главной книги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E24754" w:rsidRDefault="00E24754" w:rsidP="00886F2C">
      <w:pPr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</w:t>
      </w:r>
      <w:r>
        <w:rPr>
          <w:color w:val="000000"/>
          <w:spacing w:val="-2"/>
          <w:sz w:val="28"/>
          <w:szCs w:val="28"/>
        </w:rPr>
        <w:lastRenderedPageBreak/>
        <w:t xml:space="preserve">государственные внебюджетные фонды в соответствии с Соглашением </w:t>
      </w:r>
      <w:r>
        <w:rPr>
          <w:rFonts w:eastAsia="Calibri"/>
          <w:color w:val="000000"/>
          <w:spacing w:val="-2"/>
          <w:sz w:val="28"/>
          <w:szCs w:val="28"/>
        </w:rPr>
        <w:t>от</w:t>
      </w:r>
      <w:r w:rsidR="006551A2">
        <w:rPr>
          <w:rFonts w:eastAsia="Calibri"/>
          <w:color w:val="000000"/>
          <w:spacing w:val="-2"/>
          <w:sz w:val="28"/>
          <w:szCs w:val="28"/>
        </w:rPr>
        <w:t xml:space="preserve"> 22</w:t>
      </w:r>
      <w:r w:rsidRPr="00E24754">
        <w:rPr>
          <w:rFonts w:eastAsia="Calibri"/>
          <w:spacing w:val="-2"/>
          <w:sz w:val="28"/>
          <w:szCs w:val="28"/>
        </w:rPr>
        <w:t>.1</w:t>
      </w:r>
      <w:r w:rsidR="006551A2">
        <w:rPr>
          <w:rFonts w:eastAsia="Calibri"/>
          <w:spacing w:val="-2"/>
          <w:sz w:val="28"/>
          <w:szCs w:val="28"/>
        </w:rPr>
        <w:t>2</w:t>
      </w:r>
      <w:r w:rsidRPr="00E24754">
        <w:rPr>
          <w:rFonts w:eastAsia="Calibri"/>
          <w:spacing w:val="-2"/>
          <w:sz w:val="28"/>
          <w:szCs w:val="28"/>
        </w:rPr>
        <w:t>.2022 №</w:t>
      </w:r>
      <w:r w:rsidR="006551A2">
        <w:rPr>
          <w:rFonts w:eastAsia="Calibri"/>
          <w:spacing w:val="-2"/>
          <w:sz w:val="28"/>
          <w:szCs w:val="28"/>
        </w:rPr>
        <w:t>6/23</w:t>
      </w:r>
      <w:r w:rsidRPr="00E24754">
        <w:rPr>
          <w:rFonts w:eastAsia="Calibri"/>
          <w:spacing w:val="-2"/>
          <w:sz w:val="28"/>
          <w:szCs w:val="28"/>
        </w:rPr>
        <w:t xml:space="preserve"> </w:t>
      </w:r>
      <w:r w:rsidRPr="00E24754">
        <w:rPr>
          <w:spacing w:val="-2"/>
          <w:sz w:val="28"/>
          <w:szCs w:val="28"/>
        </w:rPr>
        <w:t xml:space="preserve">осуществляет </w:t>
      </w:r>
      <w:r>
        <w:rPr>
          <w:color w:val="000000"/>
          <w:spacing w:val="-2"/>
          <w:sz w:val="28"/>
          <w:szCs w:val="28"/>
        </w:rPr>
        <w:t xml:space="preserve">муниципальное казенное учреждение «Центр </w:t>
      </w:r>
      <w:r w:rsidR="006551A2">
        <w:rPr>
          <w:color w:val="000000"/>
          <w:spacing w:val="-2"/>
          <w:sz w:val="28"/>
          <w:szCs w:val="28"/>
        </w:rPr>
        <w:t>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</w:t>
      </w:r>
      <w:r>
        <w:rPr>
          <w:color w:val="000000"/>
          <w:spacing w:val="-2"/>
          <w:sz w:val="28"/>
          <w:szCs w:val="28"/>
        </w:rPr>
        <w:t>»</w:t>
      </w:r>
      <w:r w:rsidR="003676C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(далее – МКУ «Центр </w:t>
      </w:r>
      <w:r w:rsidR="006551A2">
        <w:rPr>
          <w:color w:val="000000"/>
          <w:spacing w:val="-2"/>
          <w:sz w:val="28"/>
          <w:szCs w:val="28"/>
        </w:rPr>
        <w:t>обеспечения</w:t>
      </w:r>
      <w:r>
        <w:rPr>
          <w:color w:val="000000"/>
          <w:spacing w:val="-2"/>
          <w:sz w:val="28"/>
          <w:szCs w:val="28"/>
        </w:rPr>
        <w:t>»).</w:t>
      </w:r>
    </w:p>
    <w:p w:rsidR="00CD703D" w:rsidRDefault="00CD703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председатель </w:t>
      </w:r>
      <w:r w:rsidR="006551A2">
        <w:rPr>
          <w:bCs/>
          <w:sz w:val="28"/>
          <w:szCs w:val="28"/>
        </w:rPr>
        <w:t>контрольно-счетной комиссии Чагодощенского</w:t>
      </w:r>
      <w:r>
        <w:rPr>
          <w:bCs/>
          <w:sz w:val="28"/>
          <w:szCs w:val="28"/>
        </w:rPr>
        <w:t xml:space="preserve"> муниципального округа – </w:t>
      </w:r>
      <w:r w:rsidR="006551A2">
        <w:rPr>
          <w:bCs/>
          <w:sz w:val="28"/>
          <w:szCs w:val="28"/>
        </w:rPr>
        <w:t xml:space="preserve">Васильева </w:t>
      </w:r>
      <w:r w:rsidR="00E02D96">
        <w:rPr>
          <w:bCs/>
          <w:sz w:val="28"/>
          <w:szCs w:val="28"/>
        </w:rPr>
        <w:t>Н.</w:t>
      </w:r>
      <w:proofErr w:type="gramStart"/>
      <w:r w:rsidR="00E02D96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директор</w:t>
      </w:r>
      <w:proofErr w:type="gramEnd"/>
      <w:r>
        <w:rPr>
          <w:bCs/>
          <w:sz w:val="28"/>
          <w:szCs w:val="28"/>
        </w:rPr>
        <w:t xml:space="preserve"> МКУ «Центр </w:t>
      </w:r>
      <w:r w:rsidR="006551A2">
        <w:rPr>
          <w:bCs/>
          <w:sz w:val="28"/>
          <w:szCs w:val="28"/>
        </w:rPr>
        <w:t>обеспечения»</w:t>
      </w:r>
      <w:r>
        <w:rPr>
          <w:bCs/>
          <w:sz w:val="28"/>
          <w:szCs w:val="28"/>
        </w:rPr>
        <w:t xml:space="preserve"> </w:t>
      </w:r>
      <w:r w:rsidR="00E02D96">
        <w:rPr>
          <w:bCs/>
          <w:sz w:val="28"/>
          <w:szCs w:val="28"/>
        </w:rPr>
        <w:t xml:space="preserve">Евдокимова С.Н., </w:t>
      </w:r>
      <w:r>
        <w:rPr>
          <w:bCs/>
          <w:sz w:val="28"/>
          <w:szCs w:val="28"/>
        </w:rPr>
        <w:t xml:space="preserve"> главный бухгалтер –</w:t>
      </w:r>
      <w:r w:rsidR="00E02D96">
        <w:rPr>
          <w:bCs/>
          <w:sz w:val="28"/>
          <w:szCs w:val="28"/>
        </w:rPr>
        <w:t xml:space="preserve"> Орлова А.А.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E02D9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E02D9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E02D96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решение № 1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0711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.202</w:t>
      </w:r>
      <w:r w:rsidR="000711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7A48F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 выявлено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rFonts w:eastAsia="Calibri" w:cs="Calibri"/>
          <w:sz w:val="28"/>
          <w:szCs w:val="28"/>
        </w:rPr>
        <w:t>В соответствии с пунктом 158 Инструкции №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2. Организационный раздел</w:t>
      </w:r>
    </w:p>
    <w:p w:rsidR="000A13FB" w:rsidRDefault="007E54AE" w:rsidP="000A13F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071185">
        <w:rPr>
          <w:rFonts w:eastAsia="Calibri"/>
          <w:sz w:val="28"/>
          <w:szCs w:val="28"/>
        </w:rPr>
        <w:t>Контрольно-счетная комиссия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</w:t>
      </w:r>
      <w:r>
        <w:rPr>
          <w:rFonts w:eastAsia="Calibri"/>
          <w:sz w:val="28"/>
          <w:szCs w:val="28"/>
        </w:rPr>
        <w:t>осуществляет свою деятельность с 01.01.202</w:t>
      </w:r>
      <w:r w:rsidR="00DD5C6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,  </w:t>
      </w:r>
      <w:r w:rsidR="000A13FB">
        <w:rPr>
          <w:rFonts w:eastAsia="Calibri"/>
          <w:sz w:val="28"/>
          <w:szCs w:val="28"/>
        </w:rPr>
        <w:t xml:space="preserve">является </w:t>
      </w:r>
      <w:r w:rsidR="00071185">
        <w:rPr>
          <w:rFonts w:eastAsia="Calibri"/>
          <w:sz w:val="28"/>
          <w:szCs w:val="28"/>
        </w:rPr>
        <w:t xml:space="preserve">постоянно действующим </w:t>
      </w:r>
      <w:r w:rsidR="000A13FB">
        <w:rPr>
          <w:rFonts w:eastAsia="Calibri"/>
          <w:sz w:val="28"/>
          <w:szCs w:val="28"/>
        </w:rPr>
        <w:t xml:space="preserve">органом </w:t>
      </w:r>
      <w:r w:rsidR="00071185">
        <w:rPr>
          <w:rFonts w:eastAsia="Calibri"/>
          <w:sz w:val="28"/>
          <w:szCs w:val="28"/>
        </w:rPr>
        <w:t xml:space="preserve"> внешнего муниципального финансового контроля и образуется Представительным Собранием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</w:t>
      </w:r>
      <w:r w:rsidR="000A13FB">
        <w:rPr>
          <w:rFonts w:eastAsia="Calibri"/>
          <w:color w:val="000000"/>
          <w:sz w:val="28"/>
          <w:szCs w:val="28"/>
        </w:rPr>
        <w:t>округа</w:t>
      </w:r>
      <w:r w:rsidR="000A13FB">
        <w:rPr>
          <w:rFonts w:eastAsia="Calibri"/>
          <w:sz w:val="28"/>
          <w:szCs w:val="28"/>
        </w:rPr>
        <w:t xml:space="preserve"> на основании решения </w:t>
      </w:r>
      <w:r w:rsidR="00071185">
        <w:rPr>
          <w:rFonts w:eastAsia="Calibri"/>
          <w:sz w:val="28"/>
          <w:szCs w:val="28"/>
        </w:rPr>
        <w:t>Представительного</w:t>
      </w:r>
      <w:r w:rsidR="000A13FB">
        <w:rPr>
          <w:rFonts w:eastAsia="Calibri"/>
          <w:sz w:val="28"/>
          <w:szCs w:val="28"/>
        </w:rPr>
        <w:t xml:space="preserve"> Собрание </w:t>
      </w:r>
      <w:r w:rsidR="00071185">
        <w:rPr>
          <w:rFonts w:eastAsia="Calibri"/>
          <w:sz w:val="28"/>
          <w:szCs w:val="28"/>
        </w:rPr>
        <w:t>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от 2</w:t>
      </w:r>
      <w:r w:rsidR="00071185">
        <w:rPr>
          <w:rFonts w:eastAsia="Calibri"/>
          <w:sz w:val="28"/>
          <w:szCs w:val="28"/>
        </w:rPr>
        <w:t>7</w:t>
      </w:r>
      <w:r w:rsidR="000A13FB">
        <w:rPr>
          <w:rFonts w:eastAsia="Calibri"/>
          <w:sz w:val="28"/>
          <w:szCs w:val="28"/>
        </w:rPr>
        <w:t>.</w:t>
      </w:r>
      <w:r w:rsidR="00071185">
        <w:rPr>
          <w:rFonts w:eastAsia="Calibri"/>
          <w:sz w:val="28"/>
          <w:szCs w:val="28"/>
        </w:rPr>
        <w:t>11</w:t>
      </w:r>
      <w:r w:rsidR="000A13FB">
        <w:rPr>
          <w:rFonts w:eastAsia="Calibri"/>
          <w:sz w:val="28"/>
          <w:szCs w:val="28"/>
        </w:rPr>
        <w:t>.2022 №</w:t>
      </w:r>
      <w:r w:rsidR="00071185">
        <w:rPr>
          <w:rFonts w:eastAsia="Calibri"/>
          <w:sz w:val="28"/>
          <w:szCs w:val="28"/>
        </w:rPr>
        <w:t>29</w:t>
      </w:r>
      <w:r w:rsidR="000A13FB">
        <w:rPr>
          <w:rFonts w:eastAsia="Calibri"/>
          <w:sz w:val="28"/>
          <w:szCs w:val="28"/>
        </w:rPr>
        <w:t xml:space="preserve"> «О создании </w:t>
      </w:r>
      <w:r w:rsidR="00071185">
        <w:rPr>
          <w:rFonts w:eastAsia="Calibri"/>
          <w:sz w:val="28"/>
          <w:szCs w:val="28"/>
        </w:rPr>
        <w:t>контрольно-счетной комиссии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Вологодской области». </w:t>
      </w:r>
    </w:p>
    <w:p w:rsidR="000A13FB" w:rsidRDefault="00071185" w:rsidP="000A13F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Контрольно-счетная комиссия Чагодощенского </w:t>
      </w:r>
      <w:r w:rsidR="000A13FB">
        <w:rPr>
          <w:rFonts w:eastAsia="Calibri"/>
          <w:sz w:val="28"/>
          <w:szCs w:val="28"/>
        </w:rPr>
        <w:t xml:space="preserve">муниципального округа Вологодской области зарегистрировано как юридическое лицо в Межрайонной инспекции Федеральной налоговой службы №7 по Вологодской области 17.10.2022 года. </w:t>
      </w:r>
    </w:p>
    <w:p w:rsidR="000A13FB" w:rsidRDefault="000A13FB" w:rsidP="000A13F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ИНН 352100</w:t>
      </w:r>
      <w:r w:rsidR="00071185">
        <w:rPr>
          <w:rFonts w:eastAsia="Calibri"/>
          <w:sz w:val="28"/>
          <w:szCs w:val="28"/>
        </w:rPr>
        <w:t>4860</w:t>
      </w:r>
      <w:r>
        <w:rPr>
          <w:rFonts w:eastAsia="Calibri"/>
          <w:sz w:val="28"/>
          <w:szCs w:val="28"/>
        </w:rPr>
        <w:t xml:space="preserve">  КПП  352</w:t>
      </w:r>
      <w:r w:rsidR="0007118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01001  ОГРН  122350001</w:t>
      </w:r>
      <w:r w:rsidR="00071185">
        <w:rPr>
          <w:rFonts w:eastAsia="Calibri"/>
          <w:sz w:val="28"/>
          <w:szCs w:val="28"/>
        </w:rPr>
        <w:t>3550.</w:t>
      </w:r>
    </w:p>
    <w:p w:rsidR="000A13FB" w:rsidRDefault="00071185" w:rsidP="00FC2EA7">
      <w:pPr>
        <w:ind w:firstLine="708"/>
        <w:jc w:val="both"/>
        <w:rPr>
          <w:rFonts w:eastAsia="Calibri"/>
          <w:bCs/>
          <w:color w:val="000000"/>
          <w:spacing w:val="-2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 xml:space="preserve">Контрольно-счетная комиссия </w:t>
      </w:r>
      <w:r w:rsidR="000A13FB">
        <w:rPr>
          <w:rFonts w:eastAsia="Calibri"/>
          <w:color w:val="000000"/>
          <w:spacing w:val="-2"/>
          <w:sz w:val="28"/>
          <w:szCs w:val="28"/>
        </w:rPr>
        <w:t xml:space="preserve">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0A13FB" w:rsidRDefault="000A13FB" w:rsidP="000A13FB">
      <w:pPr>
        <w:pStyle w:val="ConsPlusNormal"/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Подведомственных учреждений у </w:t>
      </w:r>
      <w:r w:rsidR="00071185">
        <w:rPr>
          <w:rFonts w:eastAsia="Calibri"/>
          <w:color w:val="000000"/>
          <w:spacing w:val="-2"/>
          <w:sz w:val="28"/>
          <w:szCs w:val="28"/>
        </w:rPr>
        <w:t>контрольно-счетной комиссии нет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A48FB" w:rsidRDefault="007A48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 Главной книги.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B668B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</w:t>
      </w:r>
      <w:r w:rsidR="00B668B8">
        <w:rPr>
          <w:rFonts w:ascii="TimesNewRomanPSMT" w:hAnsi="TimesNewRomanPSMT"/>
          <w:color w:val="000000"/>
          <w:sz w:val="28"/>
          <w:szCs w:val="28"/>
        </w:rPr>
        <w:t>на 01.01.2024г.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14BCF">
        <w:rPr>
          <w:rFonts w:ascii="TimesNewRomanPSMT" w:hAnsi="TimesNewRomanPSMT"/>
          <w:sz w:val="28"/>
          <w:szCs w:val="28"/>
        </w:rPr>
        <w:t xml:space="preserve">По данным Баланса ф. 0503130 </w:t>
      </w:r>
      <w:r w:rsidR="00B668B8">
        <w:rPr>
          <w:rFonts w:ascii="TimesNewRomanPSMT" w:hAnsi="TimesNewRomanPSMT"/>
          <w:sz w:val="28"/>
          <w:szCs w:val="28"/>
        </w:rPr>
        <w:t>контрольно-счетной комиссии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9376E8">
        <w:rPr>
          <w:rFonts w:ascii="TimesNewRomanPSMT" w:hAnsi="TimesNewRomanPSMT"/>
          <w:sz w:val="28"/>
          <w:szCs w:val="28"/>
        </w:rPr>
        <w:t xml:space="preserve">на </w:t>
      </w:r>
      <w:r w:rsidRPr="00C14BCF">
        <w:rPr>
          <w:rFonts w:ascii="TimesNewRomanPSMT" w:hAnsi="TimesNewRomanPSMT"/>
          <w:sz w:val="28"/>
          <w:szCs w:val="28"/>
        </w:rPr>
        <w:t xml:space="preserve">конец </w:t>
      </w:r>
      <w:r w:rsidRPr="00FC2EA7">
        <w:rPr>
          <w:rFonts w:ascii="TimesNewRomanPSMT" w:hAnsi="TimesNewRomanPSMT"/>
          <w:sz w:val="28"/>
          <w:szCs w:val="28"/>
        </w:rPr>
        <w:t xml:space="preserve">отчетного периода валюта Баланса составила </w:t>
      </w:r>
      <w:r w:rsidR="00B668B8" w:rsidRPr="00FC2EA7">
        <w:rPr>
          <w:rFonts w:ascii="TimesNewRomanPSMT" w:hAnsi="TimesNewRomanPSMT"/>
          <w:sz w:val="28"/>
          <w:szCs w:val="28"/>
        </w:rPr>
        <w:t>12</w:t>
      </w:r>
      <w:r w:rsidR="00FC2EA7" w:rsidRPr="00FC2EA7">
        <w:rPr>
          <w:rFonts w:ascii="TimesNewRomanPSMT" w:hAnsi="TimesNewRomanPSMT"/>
          <w:sz w:val="28"/>
          <w:szCs w:val="28"/>
        </w:rPr>
        <w:t>,6 тыс.</w:t>
      </w:r>
      <w:r w:rsidRPr="00FC2EA7">
        <w:rPr>
          <w:rFonts w:ascii="TimesNewRomanPSMT" w:hAnsi="TimesNewRomanPSMT"/>
          <w:sz w:val="28"/>
          <w:szCs w:val="28"/>
        </w:rPr>
        <w:t xml:space="preserve"> руб.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</w:p>
    <w:p w:rsidR="00692C8F" w:rsidRDefault="009F6972" w:rsidP="00692C8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692C8F" w:rsidRPr="00AD2F26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 формам</w:t>
      </w:r>
      <w:r w:rsidR="00692C8F">
        <w:rPr>
          <w:rFonts w:ascii="TimesNewRomanPSMT" w:hAnsi="TimesNewRomanPSMT"/>
          <w:color w:val="000000"/>
          <w:sz w:val="28"/>
          <w:szCs w:val="28"/>
        </w:rPr>
        <w:t xml:space="preserve"> 0503168, 0503169 </w:t>
      </w:r>
      <w:r w:rsidR="00692C8F" w:rsidRPr="00AD2F26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7B6284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Дебиторская задолженность по выплатам на конец отчетного периода,</w:t>
      </w:r>
      <w:r w:rsidR="009348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отраженная по строке 260 Баланса ф. 0503130 получателя бюджетных сре</w:t>
      </w:r>
      <w:proofErr w:type="gramStart"/>
      <w:r w:rsidRPr="00AD2F26">
        <w:rPr>
          <w:rFonts w:ascii="TimesNewRomanPSMT" w:hAnsi="TimesNewRomanPSMT"/>
          <w:color w:val="000000"/>
          <w:sz w:val="28"/>
          <w:szCs w:val="28"/>
        </w:rPr>
        <w:t>дств в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с</w:t>
      </w:r>
      <w:proofErr w:type="gramEnd"/>
      <w:r w:rsidRPr="00AD2F26">
        <w:rPr>
          <w:rFonts w:ascii="TimesNewRomanPSMT" w:hAnsi="TimesNewRomanPSMT"/>
          <w:color w:val="000000"/>
          <w:sz w:val="28"/>
          <w:szCs w:val="28"/>
        </w:rPr>
        <w:t xml:space="preserve">умме </w:t>
      </w:r>
      <w:r w:rsidR="000D6846">
        <w:rPr>
          <w:rFonts w:ascii="TimesNewRomanPSMT" w:hAnsi="TimesNewRomanPSMT"/>
          <w:color w:val="000000"/>
          <w:sz w:val="28"/>
          <w:szCs w:val="28"/>
        </w:rPr>
        <w:t>12</w:t>
      </w:r>
      <w:r w:rsidR="00FC2EA7">
        <w:rPr>
          <w:rFonts w:ascii="TimesNewRomanPSMT" w:hAnsi="TimesNewRomanPSMT"/>
          <w:color w:val="000000"/>
          <w:sz w:val="28"/>
          <w:szCs w:val="28"/>
        </w:rPr>
        <w:t>,6 тыс.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руб. соответствует данным счетов </w:t>
      </w:r>
      <w:r w:rsidR="005D2EF9">
        <w:rPr>
          <w:rFonts w:ascii="TimesNewRomanPSMT" w:hAnsi="TimesNewRomanPSMT"/>
          <w:color w:val="000000"/>
          <w:sz w:val="28"/>
          <w:szCs w:val="28"/>
        </w:rPr>
        <w:t>130300</w:t>
      </w:r>
      <w:r w:rsidRPr="00AD2F26">
        <w:rPr>
          <w:rFonts w:ascii="TimesNewRomanPSMT" w:hAnsi="TimesNewRomanPSMT"/>
          <w:color w:val="000000"/>
          <w:sz w:val="28"/>
          <w:szCs w:val="28"/>
        </w:rPr>
        <w:t>000 ф.0503169, ф.0504072 «Главная книга»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7B6284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Кредиторская задолженность по выплатам (стр. 410</w:t>
      </w:r>
      <w:r w:rsidR="009D20C1">
        <w:rPr>
          <w:rFonts w:ascii="TimesNewRomanPSMT" w:hAnsi="TimesNewRomanPSMT"/>
          <w:color w:val="000000"/>
          <w:sz w:val="28"/>
          <w:szCs w:val="28"/>
        </w:rPr>
        <w:t>, 420</w:t>
      </w:r>
      <w:r w:rsidRPr="00AD2F26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AD2F26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9D20C1">
        <w:rPr>
          <w:rFonts w:ascii="TimesNewRomanPSMT" w:hAnsi="TimesNewRomanPSMT"/>
          <w:color w:val="000000"/>
          <w:sz w:val="28"/>
          <w:szCs w:val="28"/>
        </w:rPr>
        <w:t>46</w:t>
      </w:r>
      <w:r w:rsidR="00FC2EA7">
        <w:rPr>
          <w:rFonts w:ascii="TimesNewRomanPSMT" w:hAnsi="TimesNewRomanPSMT"/>
          <w:color w:val="000000"/>
          <w:sz w:val="28"/>
          <w:szCs w:val="28"/>
        </w:rPr>
        <w:t>,7 тыс.</w:t>
      </w:r>
      <w:r w:rsidR="009D20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>
        <w:rPr>
          <w:rFonts w:ascii="TimesNewRomanPSMT" w:hAnsi="TimesNewRomanPSMT"/>
          <w:color w:val="000000"/>
          <w:sz w:val="28"/>
          <w:szCs w:val="28"/>
        </w:rPr>
        <w:t>ов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130200000</w:t>
      </w:r>
      <w:r w:rsidR="005D2EF9">
        <w:rPr>
          <w:rFonts w:ascii="TimesNewRomanPSMT" w:hAnsi="TimesNewRomanPSMT"/>
          <w:color w:val="000000"/>
          <w:sz w:val="28"/>
          <w:szCs w:val="28"/>
        </w:rPr>
        <w:t>, 130300</w:t>
      </w:r>
      <w:r w:rsidR="005D2EF9" w:rsidRPr="00AD2F26">
        <w:rPr>
          <w:rFonts w:ascii="TimesNewRomanPSMT" w:hAnsi="TimesNewRomanPSMT"/>
          <w:color w:val="000000"/>
          <w:sz w:val="28"/>
          <w:szCs w:val="28"/>
        </w:rPr>
        <w:t>000</w:t>
      </w:r>
      <w:r w:rsidRPr="00AD2F26">
        <w:rPr>
          <w:rFonts w:ascii="TimesNewRomanPSMT" w:hAnsi="TimesNewRomanPSMT"/>
          <w:color w:val="000000"/>
          <w:sz w:val="28"/>
          <w:szCs w:val="28"/>
        </w:rPr>
        <w:t>ф. 0503169, ф.0504072 «Главная книга»</w:t>
      </w:r>
      <w:r w:rsidR="000D6846">
        <w:rPr>
          <w:rFonts w:ascii="TimesNewRomanPSMT" w:hAnsi="TimesNewRomanPSMT"/>
          <w:color w:val="000000"/>
          <w:sz w:val="28"/>
          <w:szCs w:val="28"/>
        </w:rPr>
        <w:t>.</w:t>
      </w:r>
    </w:p>
    <w:p w:rsidR="00E41BAE" w:rsidRPr="00E41BAE" w:rsidRDefault="007B6284" w:rsidP="00E41BAE">
      <w:p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AD2F26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proofErr w:type="gramEnd"/>
      <w:r w:rsidRPr="00AD2F26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получателя</w:t>
      </w:r>
      <w:r w:rsidRPr="00AD2F26">
        <w:rPr>
          <w:rFonts w:ascii="TimesNewRomanPSMT" w:hAnsi="TimesNewRomanPSMT"/>
          <w:color w:val="000000"/>
          <w:sz w:val="28"/>
          <w:szCs w:val="28"/>
        </w:rPr>
        <w:br/>
        <w:t xml:space="preserve">бюджетных средств составил </w:t>
      </w:r>
      <w:r w:rsidR="005D2EF9">
        <w:rPr>
          <w:rFonts w:ascii="TimesNewRomanPSMT" w:hAnsi="TimesNewRomanPSMT"/>
          <w:color w:val="000000"/>
          <w:sz w:val="28"/>
          <w:szCs w:val="28"/>
        </w:rPr>
        <w:t xml:space="preserve">«минус» </w:t>
      </w:r>
      <w:r w:rsidR="000D6846">
        <w:rPr>
          <w:rFonts w:ascii="TimesNewRomanPSMT" w:hAnsi="TimesNewRomanPSMT"/>
          <w:color w:val="000000"/>
          <w:sz w:val="28"/>
          <w:szCs w:val="28"/>
        </w:rPr>
        <w:t>62</w:t>
      </w:r>
      <w:r w:rsidR="00FC2EA7">
        <w:rPr>
          <w:rFonts w:ascii="TimesNewRomanPSMT" w:hAnsi="TimesNewRomanPSMT"/>
          <w:color w:val="000000"/>
          <w:sz w:val="28"/>
          <w:szCs w:val="28"/>
        </w:rPr>
        <w:t>,</w:t>
      </w:r>
      <w:r w:rsidR="000D6846">
        <w:rPr>
          <w:rFonts w:ascii="TimesNewRomanPSMT" w:hAnsi="TimesNewRomanPSMT"/>
          <w:color w:val="000000"/>
          <w:sz w:val="28"/>
          <w:szCs w:val="28"/>
        </w:rPr>
        <w:t>6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руб., </w:t>
      </w:r>
      <w:r w:rsidR="00E41BAE" w:rsidRPr="00E41BAE">
        <w:rPr>
          <w:rFonts w:ascii="TimesNewRomanPSMT" w:hAnsi="TimesNewRomanPSMT"/>
          <w:color w:val="000000"/>
          <w:sz w:val="28"/>
          <w:szCs w:val="28"/>
        </w:rPr>
        <w:t xml:space="preserve"> что соответствует </w:t>
      </w:r>
      <w:r w:rsidR="00E41BAE" w:rsidRPr="00233231">
        <w:rPr>
          <w:rFonts w:ascii="TimesNewRomanPSMT" w:hAnsi="TimesNewRomanPSMT"/>
          <w:color w:val="000000"/>
          <w:sz w:val="28"/>
          <w:szCs w:val="28"/>
        </w:rPr>
        <w:t xml:space="preserve">остатку по счету 140130 «Финансовый результат прошлых отчетных периодов» Главной книги ф.0504072 в сумме  </w:t>
      </w:r>
      <w:r w:rsidR="00233231" w:rsidRPr="00233231">
        <w:rPr>
          <w:rFonts w:ascii="TimesNewRomanPSMT" w:hAnsi="TimesNewRomanPSMT"/>
          <w:color w:val="000000"/>
          <w:sz w:val="28"/>
          <w:szCs w:val="28"/>
        </w:rPr>
        <w:t>62,6 тыс.</w:t>
      </w:r>
      <w:r w:rsidR="00E41BAE" w:rsidRPr="00233231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7B6284" w:rsidRDefault="007B6284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получателем бюджетных сре</w:t>
      </w:r>
      <w:proofErr w:type="gramStart"/>
      <w:r w:rsidRPr="007B6284">
        <w:rPr>
          <w:rFonts w:ascii="TimesNewRomanPSMT" w:hAnsi="TimesNewRomanPSMT"/>
          <w:color w:val="000000"/>
          <w:sz w:val="28"/>
          <w:szCs w:val="28"/>
        </w:rPr>
        <w:t>дств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сф</w:t>
      </w:r>
      <w:proofErr w:type="gramEnd"/>
      <w:r w:rsidRPr="007B6284">
        <w:rPr>
          <w:rFonts w:ascii="TimesNewRomanPSMT" w:hAnsi="TimesNewRomanPSMT"/>
          <w:color w:val="000000"/>
          <w:sz w:val="28"/>
          <w:szCs w:val="28"/>
        </w:rPr>
        <w:t>ормирована Справка о наличии имущества и обязательств, отраженных на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7B6284">
        <w:rPr>
          <w:rFonts w:ascii="TimesNewRomanPSMT" w:hAnsi="TimesNewRomanPSMT"/>
          <w:color w:val="000000"/>
          <w:sz w:val="28"/>
          <w:szCs w:val="28"/>
        </w:rPr>
        <w:t>забалансовых</w:t>
      </w:r>
      <w:proofErr w:type="spellEnd"/>
      <w:r w:rsidRPr="007B6284">
        <w:rPr>
          <w:rFonts w:ascii="TimesNewRomanPSMT" w:hAnsi="TimesNewRomanPSMT"/>
          <w:color w:val="000000"/>
          <w:sz w:val="28"/>
          <w:szCs w:val="28"/>
        </w:rPr>
        <w:t xml:space="preserve"> счетах.</w:t>
      </w:r>
      <w:r w:rsidR="000D68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 xml:space="preserve">По данным Справки по </w:t>
      </w:r>
      <w:proofErr w:type="spellStart"/>
      <w:r w:rsidRPr="007B6284">
        <w:rPr>
          <w:rFonts w:ascii="TimesNewRomanPSMT" w:hAnsi="TimesNewRomanPSMT"/>
          <w:color w:val="000000"/>
          <w:sz w:val="28"/>
          <w:szCs w:val="28"/>
        </w:rPr>
        <w:t>забалансовому</w:t>
      </w:r>
      <w:proofErr w:type="spellEnd"/>
      <w:r w:rsidRPr="007B6284">
        <w:rPr>
          <w:rFonts w:ascii="TimesNewRomanPSMT" w:hAnsi="TimesNewRomanPSMT"/>
          <w:color w:val="000000"/>
          <w:sz w:val="28"/>
          <w:szCs w:val="28"/>
        </w:rPr>
        <w:t xml:space="preserve"> счету 21 «Основные средства в эксплуатации» отражены в сумме </w:t>
      </w:r>
      <w:r w:rsidR="000D6846">
        <w:rPr>
          <w:rFonts w:ascii="TimesNewRomanPSMT" w:hAnsi="TimesNewRomanPSMT"/>
          <w:color w:val="000000"/>
          <w:sz w:val="28"/>
          <w:szCs w:val="28"/>
        </w:rPr>
        <w:t>17</w:t>
      </w:r>
      <w:r w:rsidR="00FC2EA7">
        <w:rPr>
          <w:rFonts w:ascii="TimesNewRomanPSMT" w:hAnsi="TimesNewRomanPSMT"/>
          <w:color w:val="000000"/>
          <w:sz w:val="28"/>
          <w:szCs w:val="28"/>
        </w:rPr>
        <w:t>,9 тыс.</w:t>
      </w:r>
      <w:r w:rsidRPr="007B6284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7B6284" w:rsidRDefault="007B6284" w:rsidP="00FC2EA7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7B6284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FC2EA7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состояниюна 01.01.202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FC2EA7" w:rsidRDefault="00FC2EA7" w:rsidP="00FC2EA7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 состоянию на 01.01.2024 доходы по бюджетной деятельности составили 11,1 тыс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уб.</w:t>
      </w:r>
    </w:p>
    <w:p w:rsidR="008D4EB5" w:rsidRDefault="00FC2EA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 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</w:t>
      </w:r>
      <w:r w:rsidR="008D4EB5">
        <w:rPr>
          <w:rFonts w:ascii="TimesNewRomanPSMT" w:hAnsi="TimesNewRomanPSMT"/>
          <w:color w:val="000000"/>
          <w:sz w:val="28"/>
          <w:szCs w:val="28"/>
        </w:rPr>
        <w:t>4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 xml:space="preserve"> г. составили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819,7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="008D4EB5" w:rsidRPr="008D4EB5">
        <w:rPr>
          <w:rFonts w:ascii="TimesNewRomanPSMT" w:hAnsi="TimesNewRomanPSMT"/>
          <w:color w:val="000000"/>
          <w:sz w:val="28"/>
          <w:szCs w:val="28"/>
        </w:rPr>
        <w:t>уб., из них оплата труда и начисления на выплаты по оплате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труда </w:t>
      </w:r>
      <w:r w:rsidR="008D4EB5">
        <w:rPr>
          <w:rFonts w:ascii="TimesNewRomanPSMT" w:hAnsi="TimesNewRomanPSMT"/>
          <w:color w:val="000000"/>
          <w:sz w:val="28"/>
          <w:szCs w:val="28"/>
        </w:rPr>
        <w:t>–</w:t>
      </w:r>
      <w:r w:rsidR="00DF214A">
        <w:rPr>
          <w:rFonts w:ascii="TimesNewRomanPSMT" w:hAnsi="TimesNewRomanPSMT"/>
          <w:color w:val="000000"/>
          <w:sz w:val="28"/>
          <w:szCs w:val="28"/>
        </w:rPr>
        <w:t>778,7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 xml:space="preserve"> руб., </w:t>
      </w:r>
      <w:r w:rsidR="008D4EB5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897D28">
        <w:rPr>
          <w:rFonts w:ascii="TimesNewRomanPSMT" w:hAnsi="TimesNewRomanPSMT"/>
          <w:color w:val="000000"/>
          <w:sz w:val="28"/>
          <w:szCs w:val="28"/>
        </w:rPr>
        <w:t>9,</w:t>
      </w:r>
      <w:r>
        <w:rPr>
          <w:rFonts w:ascii="TimesNewRomanPSMT" w:hAnsi="TimesNewRomanPSMT"/>
          <w:color w:val="000000"/>
          <w:sz w:val="28"/>
          <w:szCs w:val="28"/>
        </w:rPr>
        <w:t>5 тыс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="008D4EB5" w:rsidRPr="008D4EB5">
        <w:rPr>
          <w:rFonts w:ascii="TimesNewRomanPSMT" w:hAnsi="TimesNewRomanPSMT"/>
          <w:color w:val="000000"/>
          <w:sz w:val="28"/>
          <w:szCs w:val="28"/>
        </w:rPr>
        <w:t>руб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="00897D28">
        <w:rPr>
          <w:rFonts w:ascii="TimesNewRomanPSMT" w:hAnsi="TimesNewRomanPSMT"/>
          <w:color w:val="000000"/>
          <w:sz w:val="28"/>
          <w:szCs w:val="28"/>
        </w:rPr>
        <w:t>,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расходы по операциям с активами- 30,8 тыс.руб.,  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штрафы </w:t>
      </w:r>
      <w:r>
        <w:rPr>
          <w:rFonts w:ascii="TimesNewRomanPSMT" w:hAnsi="TimesNewRomanPSMT"/>
          <w:color w:val="000000"/>
          <w:sz w:val="28"/>
          <w:szCs w:val="28"/>
        </w:rPr>
        <w:t>0,6 тыс.руб</w:t>
      </w:r>
      <w:r w:rsidR="00897D28">
        <w:rPr>
          <w:rFonts w:ascii="TimesNewRomanPSMT" w:hAnsi="TimesNewRomanPSMT"/>
          <w:color w:val="000000"/>
          <w:sz w:val="28"/>
          <w:szCs w:val="28"/>
        </w:rPr>
        <w:t>.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операционный результат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составил «минус» </w:t>
      </w:r>
      <w:r w:rsidR="00C220CD">
        <w:rPr>
          <w:rFonts w:ascii="TimesNewRomanPSMT" w:hAnsi="TimesNewRomanPSMT"/>
          <w:color w:val="000000"/>
          <w:sz w:val="28"/>
          <w:szCs w:val="28"/>
        </w:rPr>
        <w:t>808</w:t>
      </w:r>
      <w:r w:rsidR="009E452F">
        <w:rPr>
          <w:rFonts w:ascii="TimesNewRomanPSMT" w:hAnsi="TimesNewRomanPSMT"/>
          <w:color w:val="000000"/>
          <w:sz w:val="28"/>
          <w:szCs w:val="28"/>
        </w:rPr>
        <w:t>,7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9E452F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- </w:t>
      </w:r>
      <w:r w:rsidR="00C220CD">
        <w:rPr>
          <w:rFonts w:ascii="TimesNewRomanPSMT" w:hAnsi="TimesNewRomanPSMT"/>
          <w:color w:val="000000"/>
          <w:sz w:val="28"/>
          <w:szCs w:val="28"/>
        </w:rPr>
        <w:t>0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- «минус» </w:t>
      </w:r>
      <w:r w:rsidR="00C220CD">
        <w:rPr>
          <w:rFonts w:ascii="TimesNewRomanPSMT" w:hAnsi="TimesNewRomanPSMT"/>
          <w:color w:val="000000"/>
          <w:sz w:val="28"/>
          <w:szCs w:val="28"/>
        </w:rPr>
        <w:t>746</w:t>
      </w:r>
      <w:r w:rsidR="009E452F">
        <w:rPr>
          <w:rFonts w:ascii="TimesNewRomanPSMT" w:hAnsi="TimesNewRomanPSMT"/>
          <w:color w:val="000000"/>
          <w:sz w:val="28"/>
          <w:szCs w:val="28"/>
        </w:rPr>
        <w:t>,</w:t>
      </w:r>
      <w:r w:rsidR="00C220CD">
        <w:rPr>
          <w:rFonts w:ascii="TimesNewRomanPSMT" w:hAnsi="TimesNewRomanPSMT"/>
          <w:color w:val="000000"/>
          <w:sz w:val="28"/>
          <w:szCs w:val="28"/>
        </w:rPr>
        <w:t>0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C220CD">
        <w:rPr>
          <w:rFonts w:ascii="TimesNewRomanPSMT" w:hAnsi="TimesNewRomanPSMT"/>
          <w:color w:val="000000"/>
          <w:sz w:val="28"/>
          <w:szCs w:val="28"/>
        </w:rPr>
        <w:t>–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220CD">
        <w:rPr>
          <w:rFonts w:ascii="TimesNewRomanPSMT" w:hAnsi="TimesNewRomanPSMT"/>
          <w:color w:val="000000"/>
          <w:sz w:val="28"/>
          <w:szCs w:val="28"/>
        </w:rPr>
        <w:t>62</w:t>
      </w:r>
      <w:r w:rsidR="009E452F">
        <w:rPr>
          <w:rFonts w:ascii="TimesNewRomanPSMT" w:hAnsi="TimesNewRomanPSMT"/>
          <w:color w:val="000000"/>
          <w:sz w:val="28"/>
          <w:szCs w:val="28"/>
        </w:rPr>
        <w:t>,</w:t>
      </w:r>
      <w:r w:rsidR="00C220CD">
        <w:rPr>
          <w:rFonts w:ascii="TimesNewRomanPSMT" w:hAnsi="TimesNewRomanPSMT"/>
          <w:color w:val="000000"/>
          <w:sz w:val="28"/>
          <w:szCs w:val="28"/>
        </w:rPr>
        <w:t>6</w:t>
      </w:r>
      <w:r w:rsidR="009E452F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движении денежных средств (ф. 0503123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) </w:t>
      </w:r>
      <w:r w:rsidR="00C220C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контрольно-счетной комиссии</w:t>
      </w:r>
      <w:r w:rsidRPr="008D4EB5">
        <w:rPr>
          <w:rFonts w:ascii="TimesNewRomanPSMT" w:hAnsi="TimesNewRomanPSMT"/>
          <w:color w:val="000000"/>
          <w:sz w:val="28"/>
          <w:szCs w:val="28"/>
        </w:rPr>
        <w:t>,</w:t>
      </w:r>
      <w:r w:rsidR="008007A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открытыхв подразделениях Банка России, в кредитных организациях, органах</w:t>
      </w:r>
      <w:proofErr w:type="gramStart"/>
      <w:r w:rsidRPr="008D4EB5">
        <w:rPr>
          <w:rFonts w:ascii="TimesNewRomanPSMT" w:hAnsi="TimesNewRomanPSMT"/>
          <w:color w:val="000000"/>
          <w:sz w:val="28"/>
          <w:szCs w:val="28"/>
        </w:rPr>
        <w:t>,о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существляющих кассовое обслуживание исполнения бюджета, в том числесредства во временном распоряжении.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отчет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ф. 0503123 поступлени</w:t>
      </w:r>
      <w:r>
        <w:rPr>
          <w:rFonts w:ascii="TimesNewRomanPSMT" w:hAnsi="TimesNewRomanPSMT"/>
          <w:color w:val="000000"/>
          <w:sz w:val="28"/>
          <w:szCs w:val="28"/>
        </w:rPr>
        <w:t>й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за 20</w:t>
      </w:r>
      <w:r>
        <w:rPr>
          <w:rFonts w:ascii="TimesNewRomanPSMT" w:hAnsi="TimesNewRomanPSMT"/>
          <w:color w:val="000000"/>
          <w:sz w:val="28"/>
          <w:szCs w:val="28"/>
        </w:rPr>
        <w:t>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</w:t>
      </w:r>
      <w:r>
        <w:rPr>
          <w:rFonts w:ascii="TimesNewRomanPSMT" w:hAnsi="TimesNewRomanPSMT"/>
          <w:color w:val="000000"/>
          <w:sz w:val="28"/>
          <w:szCs w:val="28"/>
        </w:rPr>
        <w:t>не было.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Выбытия в 2023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C220CD">
        <w:rPr>
          <w:rFonts w:ascii="TimesNewRomanPSMT" w:hAnsi="TimesNewRomanPSMT"/>
          <w:color w:val="000000"/>
          <w:sz w:val="28"/>
          <w:szCs w:val="28"/>
        </w:rPr>
        <w:t>746</w:t>
      </w:r>
      <w:r w:rsidR="00F73DE4">
        <w:rPr>
          <w:rFonts w:ascii="TimesNewRomanPSMT" w:hAnsi="TimesNewRomanPSMT"/>
          <w:color w:val="000000"/>
          <w:sz w:val="28"/>
          <w:szCs w:val="28"/>
        </w:rPr>
        <w:t>,0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F73DE4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уб., в том числе выбытия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по текущим 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C220CD">
        <w:rPr>
          <w:rFonts w:ascii="TimesNewRomanPSMT" w:hAnsi="TimesNewRomanPSMT"/>
          <w:color w:val="000000"/>
          <w:sz w:val="28"/>
          <w:szCs w:val="28"/>
        </w:rPr>
        <w:t>728</w:t>
      </w:r>
      <w:r w:rsidR="00F73DE4">
        <w:rPr>
          <w:rFonts w:ascii="TimesNewRomanPSMT" w:hAnsi="TimesNewRomanPSMT"/>
          <w:color w:val="000000"/>
          <w:sz w:val="28"/>
          <w:szCs w:val="28"/>
        </w:rPr>
        <w:t>,</w:t>
      </w:r>
      <w:r w:rsidR="00C220CD">
        <w:rPr>
          <w:rFonts w:ascii="TimesNewRomanPSMT" w:hAnsi="TimesNewRomanPSMT"/>
          <w:color w:val="000000"/>
          <w:sz w:val="28"/>
          <w:szCs w:val="28"/>
        </w:rPr>
        <w:t>1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C220CD">
        <w:rPr>
          <w:rFonts w:ascii="TimesNewRomanPSMT" w:hAnsi="TimesNewRomanPSMT"/>
          <w:color w:val="000000"/>
          <w:sz w:val="28"/>
          <w:szCs w:val="28"/>
        </w:rPr>
        <w:t>17</w:t>
      </w:r>
      <w:r w:rsidR="00F73DE4">
        <w:rPr>
          <w:rFonts w:ascii="TimesNewRomanPSMT" w:hAnsi="TimesNewRomanPSMT"/>
          <w:color w:val="000000"/>
          <w:sz w:val="28"/>
          <w:szCs w:val="28"/>
        </w:rPr>
        <w:t>,9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C220CD">
        <w:rPr>
          <w:rFonts w:ascii="TimesNewRomanPSMT" w:hAnsi="TimesNewRomanPSMT"/>
          <w:color w:val="000000"/>
          <w:sz w:val="28"/>
          <w:szCs w:val="28"/>
        </w:rPr>
        <w:t>746</w:t>
      </w:r>
      <w:r w:rsidR="00DF214A">
        <w:rPr>
          <w:rFonts w:ascii="TimesNewRomanPSMT" w:hAnsi="TimesNewRomanPSMT"/>
          <w:color w:val="000000"/>
          <w:sz w:val="28"/>
          <w:szCs w:val="28"/>
        </w:rPr>
        <w:t>,</w:t>
      </w:r>
      <w:r w:rsidR="00C220CD">
        <w:rPr>
          <w:rFonts w:ascii="TimesNewRomanPSMT" w:hAnsi="TimesNewRomanPSMT"/>
          <w:color w:val="000000"/>
          <w:sz w:val="28"/>
          <w:szCs w:val="28"/>
        </w:rPr>
        <w:t>0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тыс</w:t>
      </w:r>
      <w:proofErr w:type="gramStart"/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="00C220CD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="00C220CD">
        <w:rPr>
          <w:rFonts w:ascii="TimesNewRomanPSMT" w:hAnsi="TimesNewRomanPSMT"/>
          <w:color w:val="000000"/>
          <w:sz w:val="28"/>
          <w:szCs w:val="28"/>
        </w:rPr>
        <w:t>уб.</w:t>
      </w:r>
      <w:r w:rsidR="003676C5">
        <w:rPr>
          <w:rFonts w:ascii="TimesNewRomanPSMT" w:hAnsi="TimesNewRomanPSMT"/>
          <w:color w:val="000000"/>
          <w:sz w:val="28"/>
          <w:szCs w:val="28"/>
        </w:rPr>
        <w:t>,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что соответствует информации раздела 2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«Расходы бюджета» по графе 9 ф. 0503127 в разрезе подразделов бюджетной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классификации.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="00C220CD">
        <w:rPr>
          <w:rFonts w:ascii="TimesNewRomanPSMT" w:hAnsi="TimesNewRomanPSMT"/>
          <w:color w:val="000000"/>
          <w:sz w:val="28"/>
          <w:szCs w:val="28"/>
        </w:rPr>
        <w:t>В</w:t>
      </w:r>
      <w:r w:rsidRPr="008D4EB5">
        <w:rPr>
          <w:rFonts w:ascii="TimesNewRomanPSMT" w:hAnsi="TimesNewRomanPSMT"/>
          <w:color w:val="000000"/>
          <w:sz w:val="28"/>
          <w:szCs w:val="28"/>
        </w:rPr>
        <w:t>ыбытия отчета ф. 0503123 соответствуют 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="00DF214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          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администратора, администратора источников финансирования дефицитабюджета, главного администратора, администратора доходов бюджет</w:t>
      </w:r>
      <w:proofErr w:type="gramStart"/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а(</w:t>
      </w:r>
      <w:proofErr w:type="gramEnd"/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C220C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22844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122844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122844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C220CD" w:rsidRPr="00122844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C220CD" w:rsidRPr="00122844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122844">
        <w:rPr>
          <w:rFonts w:ascii="TimesNewRomanPSMT" w:hAnsi="TimesNewRomanPSMT"/>
          <w:color w:val="000000"/>
          <w:sz w:val="28"/>
          <w:szCs w:val="28"/>
        </w:rPr>
        <w:t>22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.12.2022 </w:t>
      </w:r>
      <w:r w:rsidRPr="00122844">
        <w:rPr>
          <w:rFonts w:ascii="TimesNewRomanPSMT" w:hAnsi="TimesNewRomanPSMT"/>
          <w:color w:val="000000"/>
          <w:sz w:val="28"/>
          <w:szCs w:val="28"/>
        </w:rPr>
        <w:t>г.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№</w:t>
      </w:r>
      <w:r w:rsidR="00122844">
        <w:rPr>
          <w:rFonts w:ascii="TimesNewRomanPSMT" w:hAnsi="TimesNewRomanPSMT"/>
          <w:color w:val="000000"/>
          <w:sz w:val="28"/>
          <w:szCs w:val="28"/>
        </w:rPr>
        <w:t>61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«О бюджете 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Чагодощенского муниципального 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>округа на 2023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2024 и 2025 годов</w:t>
      </w:r>
      <w:r w:rsidRPr="00122844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367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22844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</w:t>
      </w:r>
      <w:proofErr w:type="gramStart"/>
      <w:r w:rsidRPr="00122844">
        <w:rPr>
          <w:rFonts w:ascii="TimesNewRomanPSMT" w:hAnsi="TimesNewRomanPSMT"/>
          <w:color w:val="000000"/>
          <w:sz w:val="28"/>
          <w:szCs w:val="28"/>
        </w:rPr>
        <w:t>,у</w:t>
      </w:r>
      <w:proofErr w:type="gramEnd"/>
      <w:r w:rsidRPr="00122844">
        <w:rPr>
          <w:rFonts w:ascii="TimesNewRomanPSMT" w:hAnsi="TimesNewRomanPSMT"/>
          <w:color w:val="000000"/>
          <w:sz w:val="28"/>
          <w:szCs w:val="28"/>
        </w:rPr>
        <w:t>становленному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E24754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24754">
        <w:rPr>
          <w:rFonts w:ascii="TimesNewRomanPSMT" w:hAnsi="TimesNewRomanPSMT"/>
          <w:sz w:val="28"/>
          <w:szCs w:val="28"/>
        </w:rPr>
        <w:t xml:space="preserve">Доходы </w:t>
      </w:r>
      <w:r w:rsidR="00122844">
        <w:rPr>
          <w:rFonts w:ascii="TimesNewRomanPSMT" w:hAnsi="TimesNewRomanPSMT"/>
          <w:sz w:val="28"/>
          <w:szCs w:val="28"/>
        </w:rPr>
        <w:t>контрольно-счетной комис</w:t>
      </w:r>
      <w:r w:rsidR="003B52AD">
        <w:rPr>
          <w:rFonts w:ascii="TimesNewRomanPSMT" w:hAnsi="TimesNewRomanPSMT"/>
          <w:sz w:val="28"/>
          <w:szCs w:val="28"/>
        </w:rPr>
        <w:t>с</w:t>
      </w:r>
      <w:r w:rsidR="00122844">
        <w:rPr>
          <w:rFonts w:ascii="TimesNewRomanPSMT" w:hAnsi="TimesNewRomanPSMT"/>
          <w:sz w:val="28"/>
          <w:szCs w:val="28"/>
        </w:rPr>
        <w:t>ии</w:t>
      </w:r>
      <w:r w:rsidR="00E24754">
        <w:rPr>
          <w:rFonts w:ascii="TimesNewRomanPSMT" w:hAnsi="TimesNewRomanPSMT"/>
          <w:color w:val="000000"/>
          <w:sz w:val="28"/>
          <w:szCs w:val="28"/>
        </w:rPr>
        <w:t xml:space="preserve"> не утверждались.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lastRenderedPageBreak/>
        <w:t xml:space="preserve">Расходы </w:t>
      </w:r>
      <w:r w:rsidR="00122844">
        <w:rPr>
          <w:rFonts w:ascii="TimesNewRomanPSMT" w:hAnsi="TimesNewRomanPSMT"/>
          <w:sz w:val="28"/>
          <w:szCs w:val="28"/>
        </w:rPr>
        <w:t>контрольно-счетной комис</w:t>
      </w:r>
      <w:r w:rsidR="003B52AD">
        <w:rPr>
          <w:rFonts w:ascii="TimesNewRomanPSMT" w:hAnsi="TimesNewRomanPSMT"/>
          <w:sz w:val="28"/>
          <w:szCs w:val="28"/>
        </w:rPr>
        <w:t>с</w:t>
      </w:r>
      <w:r w:rsidR="00122844">
        <w:rPr>
          <w:rFonts w:ascii="TimesNewRomanPSMT" w:hAnsi="TimesNewRomanPSMT"/>
          <w:sz w:val="28"/>
          <w:szCs w:val="28"/>
        </w:rPr>
        <w:t>ии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122844">
        <w:rPr>
          <w:rFonts w:ascii="TimesNewRomanPSMT" w:hAnsi="TimesNewRomanPSMT"/>
          <w:color w:val="000000"/>
          <w:sz w:val="28"/>
          <w:szCs w:val="28"/>
        </w:rPr>
        <w:t>828</w:t>
      </w:r>
      <w:r w:rsidR="009E452F">
        <w:rPr>
          <w:rFonts w:ascii="TimesNewRomanPSMT" w:hAnsi="TimesNewRomanPSMT"/>
          <w:color w:val="000000"/>
          <w:sz w:val="28"/>
          <w:szCs w:val="28"/>
        </w:rPr>
        <w:t>,</w:t>
      </w:r>
      <w:r w:rsidR="00122844">
        <w:rPr>
          <w:rFonts w:ascii="TimesNewRomanPSMT" w:hAnsi="TimesNewRomanPSMT"/>
          <w:color w:val="000000"/>
          <w:sz w:val="28"/>
          <w:szCs w:val="28"/>
        </w:rPr>
        <w:t>6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9E452F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Исполнени</w:t>
      </w:r>
      <w:r w:rsidR="00D74E4E">
        <w:rPr>
          <w:rFonts w:ascii="TimesNewRomanPSMT" w:hAnsi="TimesNewRomanPSMT"/>
          <w:color w:val="000000"/>
          <w:sz w:val="28"/>
          <w:szCs w:val="28"/>
        </w:rPr>
        <w:t>е расходной части бюджета за 2023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составило </w:t>
      </w:r>
      <w:r w:rsidR="00122844">
        <w:rPr>
          <w:rFonts w:ascii="TimesNewRomanPSMT" w:hAnsi="TimesNewRomanPSMT"/>
          <w:color w:val="000000"/>
          <w:sz w:val="28"/>
          <w:szCs w:val="28"/>
        </w:rPr>
        <w:t>746</w:t>
      </w:r>
      <w:r w:rsidR="009E452F">
        <w:rPr>
          <w:rFonts w:ascii="TimesNewRomanPSMT" w:hAnsi="TimesNewRomanPSMT"/>
          <w:color w:val="000000"/>
          <w:sz w:val="28"/>
          <w:szCs w:val="28"/>
        </w:rPr>
        <w:t>,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или </w:t>
      </w:r>
      <w:r w:rsidR="003B52AD">
        <w:rPr>
          <w:rFonts w:ascii="TimesNewRomanPSMT" w:hAnsi="TimesNewRomanPSMT"/>
          <w:color w:val="000000"/>
          <w:sz w:val="28"/>
          <w:szCs w:val="28"/>
        </w:rPr>
        <w:t>90</w:t>
      </w:r>
      <w:r w:rsidR="00D74E4E">
        <w:rPr>
          <w:rFonts w:ascii="TimesNewRomanPSMT" w:hAnsi="TimesNewRomanPSMT"/>
          <w:color w:val="000000"/>
          <w:sz w:val="28"/>
          <w:szCs w:val="28"/>
        </w:rPr>
        <w:t>%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6751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Таким образом, неисполненные </w:t>
      </w:r>
      <w:r w:rsidR="006751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неиспользованные назначения</w:t>
      </w:r>
      <w:r w:rsidR="006751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751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составили 82,6 тыс.руб.</w:t>
      </w:r>
      <w:r w:rsidR="00BE393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части заработной платы, оплата будет осуществлена в январе 2024г.</w:t>
      </w:r>
      <w:r w:rsidR="009E45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3B52AD">
        <w:rPr>
          <w:rFonts w:ascii="TimesNewRomanPSMT" w:hAnsi="TimesNewRomanPSMT"/>
          <w:sz w:val="28"/>
          <w:szCs w:val="28"/>
        </w:rPr>
        <w:t>контрольно-счетной комиссии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приходится </w:t>
      </w:r>
      <w:r w:rsidR="003B52AD" w:rsidRPr="003B52AD">
        <w:rPr>
          <w:rFonts w:ascii="TimesNewRomanPSMT" w:hAnsi="TimesNewRomanPSMT"/>
          <w:color w:val="000000" w:themeColor="text1"/>
          <w:sz w:val="28"/>
          <w:szCs w:val="28"/>
        </w:rPr>
        <w:t>0,08</w:t>
      </w:r>
      <w:r w:rsidRPr="003B52AD">
        <w:rPr>
          <w:rFonts w:ascii="TimesNewRomanPSMT" w:hAnsi="TimesNewRomanPSMT"/>
          <w:color w:val="000000" w:themeColor="text1"/>
          <w:sz w:val="28"/>
          <w:szCs w:val="28"/>
        </w:rPr>
        <w:t>%</w:t>
      </w:r>
      <w:r w:rsidRPr="00D74E4E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974884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бюджетных средств бюджетных обязательств в рамках осуществляемой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ими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D74E4E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r w:rsidR="003B52A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соответствии со ст.219 БК РФ, бюджетные обязательства принимались впределах доведенных лимитов бюджетных обязательств, а именно принято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бюджетных обязательств на сумму 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792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7 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уб., из них с применением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конкурентных способов </w:t>
      </w:r>
      <w:r w:rsidR="00D74E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</w:t>
      </w:r>
    </w:p>
    <w:p w:rsidR="008524D9" w:rsidRDefault="00D74E4E" w:rsidP="00C14BC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Денежные обязательства исполнены в сумме 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746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</w:t>
      </w:r>
      <w:proofErr w:type="gramStart"/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уб. Таким образом, неисполненные бюджетные обязательства 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составили 46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,7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., что </w:t>
      </w:r>
      <w:r w:rsidR="00DF214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подтверждено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формой 050317</w:t>
      </w:r>
      <w:r w:rsidR="008524D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5.</w:t>
      </w:r>
    </w:p>
    <w:p w:rsidR="00D74E4E" w:rsidRDefault="00D74E4E" w:rsidP="00C14BC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Default="0093483F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3676C5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а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дминистратора бюджетных средств проверено соответствие плановых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вой бюджетной отчетности за 2023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округа от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.12.2022 №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61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103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 «О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е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Чагодощенского муниципального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округа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 (далее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решение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 бюджете)</w:t>
      </w:r>
      <w:proofErr w:type="gramStart"/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соответствии с решением о бюджете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контрольно-счетная комиссия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является  главным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распорядителем бюджетных средств,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имеет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подведомственных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учреждений. </w:t>
      </w:r>
    </w:p>
    <w:p w:rsidR="00D32ACF" w:rsidRDefault="0093483F" w:rsidP="00D32ACF">
      <w:pPr>
        <w:tabs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>.</w:t>
      </w:r>
      <w:r w:rsidR="00492E16">
        <w:rPr>
          <w:i/>
          <w:sz w:val="28"/>
          <w:szCs w:val="28"/>
        </w:rPr>
        <w:t>1</w:t>
      </w:r>
      <w:r w:rsidR="00D32ACF">
        <w:rPr>
          <w:i/>
          <w:sz w:val="28"/>
          <w:szCs w:val="28"/>
        </w:rPr>
        <w:t xml:space="preserve">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F8516B" w:rsidRDefault="00F8516B" w:rsidP="00F8516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</w:t>
      </w:r>
      <w:r w:rsidR="00492E16">
        <w:rPr>
          <w:rFonts w:eastAsia="Calibri"/>
          <w:color w:val="000000"/>
          <w:spacing w:val="-2"/>
          <w:sz w:val="28"/>
          <w:szCs w:val="28"/>
        </w:rPr>
        <w:t>контрольно-счетной комиссии</w:t>
      </w:r>
      <w:r w:rsidR="003C7E3F">
        <w:rPr>
          <w:sz w:val="28"/>
          <w:szCs w:val="28"/>
        </w:rPr>
        <w:t xml:space="preserve">, как главному </w:t>
      </w:r>
      <w:r>
        <w:rPr>
          <w:sz w:val="28"/>
          <w:szCs w:val="28"/>
        </w:rPr>
        <w:t xml:space="preserve">распорядителю  средств  бюджета  </w:t>
      </w:r>
      <w:r w:rsidR="00492E16">
        <w:rPr>
          <w:rFonts w:eastAsia="Calibri"/>
          <w:sz w:val="28"/>
          <w:szCs w:val="28"/>
        </w:rPr>
        <w:t>Чагодощенского</w:t>
      </w:r>
      <w:r>
        <w:rPr>
          <w:rFonts w:eastAsia="Calibri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0939D8">
        <w:rPr>
          <w:sz w:val="28"/>
          <w:szCs w:val="28"/>
        </w:rPr>
        <w:t xml:space="preserve">первоначально были </w:t>
      </w:r>
      <w:r>
        <w:rPr>
          <w:sz w:val="28"/>
          <w:szCs w:val="28"/>
        </w:rPr>
        <w:t xml:space="preserve">предусмотрены  бюджетные  ассигнования  на  2023  год  в  объеме </w:t>
      </w:r>
      <w:r w:rsidR="000939D8">
        <w:rPr>
          <w:sz w:val="28"/>
          <w:szCs w:val="28"/>
        </w:rPr>
        <w:t>811</w:t>
      </w:r>
      <w:r w:rsidR="003C1991">
        <w:rPr>
          <w:sz w:val="28"/>
          <w:szCs w:val="28"/>
        </w:rPr>
        <w:t>,</w:t>
      </w:r>
      <w:r w:rsidR="000939D8">
        <w:rPr>
          <w:sz w:val="28"/>
          <w:szCs w:val="28"/>
        </w:rPr>
        <w:t>5</w:t>
      </w:r>
      <w:r w:rsidR="003C1991">
        <w:rPr>
          <w:sz w:val="28"/>
          <w:szCs w:val="28"/>
        </w:rPr>
        <w:t xml:space="preserve"> тыс</w:t>
      </w:r>
      <w:proofErr w:type="gramStart"/>
      <w:r w:rsidR="003C1991">
        <w:rPr>
          <w:sz w:val="28"/>
          <w:szCs w:val="28"/>
        </w:rPr>
        <w:t>.р</w:t>
      </w:r>
      <w:proofErr w:type="gramEnd"/>
      <w:r w:rsidR="003C1991">
        <w:rPr>
          <w:sz w:val="28"/>
          <w:szCs w:val="28"/>
        </w:rPr>
        <w:t>уб.</w:t>
      </w:r>
      <w:r>
        <w:rPr>
          <w:sz w:val="28"/>
          <w:szCs w:val="28"/>
        </w:rPr>
        <w:t xml:space="preserve"> В течение 2023 года общий объем бюджетных ассигнований </w:t>
      </w:r>
      <w:r w:rsidR="000939D8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0939D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939D8">
        <w:rPr>
          <w:sz w:val="28"/>
          <w:szCs w:val="28"/>
        </w:rPr>
        <w:t>1</w:t>
      </w:r>
      <w:r>
        <w:rPr>
          <w:sz w:val="28"/>
          <w:szCs w:val="28"/>
        </w:rPr>
        <w:t xml:space="preserve">% и составил </w:t>
      </w:r>
      <w:r w:rsidR="000939D8">
        <w:rPr>
          <w:sz w:val="28"/>
          <w:szCs w:val="28"/>
        </w:rPr>
        <w:t>828,6</w:t>
      </w:r>
      <w:r>
        <w:rPr>
          <w:sz w:val="28"/>
          <w:szCs w:val="28"/>
        </w:rPr>
        <w:t xml:space="preserve"> тыс. рублей. </w:t>
      </w:r>
    </w:p>
    <w:p w:rsidR="00F8516B" w:rsidRDefault="00F8516B" w:rsidP="00F8516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Анализ структуры расходов и уровень исполнения</w:t>
      </w:r>
      <w:r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gramStart"/>
      <w:r w:rsidR="000939D8">
        <w:rPr>
          <w:rFonts w:eastAsia="Calibri"/>
          <w:color w:val="000000"/>
          <w:spacing w:val="-2"/>
          <w:sz w:val="28"/>
          <w:szCs w:val="28"/>
        </w:rPr>
        <w:t>ко</w:t>
      </w:r>
      <w:proofErr w:type="gramEnd"/>
      <w:r>
        <w:rPr>
          <w:rFonts w:eastAsia="Calibri"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939D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округа по расходам по разделам, подразделам бюджетной классификации за 2023 год по отношению к бюджетным назначениям сводной бюджетной росписи представлены в таблице:</w:t>
      </w:r>
    </w:p>
    <w:p w:rsidR="00F8516B" w:rsidRDefault="00F8516B" w:rsidP="00F8516B">
      <w:pPr>
        <w:widowControl w:val="0"/>
        <w:tabs>
          <w:tab w:val="left" w:pos="0"/>
        </w:tabs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251"/>
        <w:gridCol w:w="1357"/>
        <w:gridCol w:w="1394"/>
        <w:gridCol w:w="1109"/>
        <w:gridCol w:w="1126"/>
        <w:gridCol w:w="1327"/>
        <w:gridCol w:w="939"/>
        <w:gridCol w:w="931"/>
      </w:tblGrid>
      <w:tr w:rsidR="00F8516B" w:rsidTr="000939D8">
        <w:trPr>
          <w:trHeight w:val="1483"/>
          <w:tblHeader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Раздел, подраздел классификации расходов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Утвержденный 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юджет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в ред. от 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22</w:t>
            </w:r>
            <w:r>
              <w:rPr>
                <w:b/>
                <w:bCs/>
                <w:i/>
                <w:iCs/>
                <w:sz w:val="20"/>
                <w:szCs w:val="20"/>
              </w:rPr>
              <w:t>.12.2022 №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61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Утвержденный бюджет в ред. от 2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sz w:val="20"/>
                <w:szCs w:val="20"/>
              </w:rPr>
              <w:t>.12.2023 №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61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Отклонение уточненного от первоначального</w:t>
            </w:r>
          </w:p>
        </w:tc>
        <w:tc>
          <w:tcPr>
            <w:tcW w:w="1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13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Исполнено  (ф.0503127)тыс. руб.</w:t>
            </w:r>
          </w:p>
        </w:tc>
        <w:tc>
          <w:tcPr>
            <w:tcW w:w="9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Удельный вес, %</w:t>
            </w:r>
          </w:p>
        </w:tc>
      </w:tr>
      <w:tr w:rsidR="00F8516B" w:rsidTr="000939D8">
        <w:trPr>
          <w:trHeight w:val="264"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F8516B" w:rsidRDefault="00F8516B" w:rsidP="00C53E16">
            <w:pPr>
              <w:jc w:val="both"/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811,5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+17,1</w:t>
            </w:r>
          </w:p>
        </w:tc>
        <w:tc>
          <w:tcPr>
            <w:tcW w:w="1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3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5A66F9" w:rsidP="00C53E16">
            <w:pPr>
              <w:jc w:val="both"/>
            </w:pPr>
            <w:r>
              <w:t>746,0</w:t>
            </w:r>
          </w:p>
        </w:tc>
        <w:tc>
          <w:tcPr>
            <w:tcW w:w="9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5A66F9" w:rsidP="00C53E16">
            <w:pPr>
              <w:jc w:val="both"/>
            </w:pPr>
            <w:r>
              <w:t>90</w:t>
            </w:r>
            <w:r w:rsidR="00F8516B">
              <w:t>,0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  <w:tr w:rsidR="00F8516B" w:rsidTr="000939D8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8516B" w:rsidRDefault="00F8516B" w:rsidP="000939D8">
            <w:pPr>
              <w:jc w:val="both"/>
            </w:pPr>
            <w:r>
              <w:rPr>
                <w:sz w:val="20"/>
                <w:szCs w:val="20"/>
              </w:rPr>
              <w:t>010</w:t>
            </w:r>
            <w:r w:rsidR="000939D8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0939D8" w:rsidP="00C53E16">
            <w:pPr>
              <w:jc w:val="both"/>
            </w:pPr>
            <w:r>
              <w:t>811,5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0939D8" w:rsidP="00C53E16">
            <w:pPr>
              <w:jc w:val="both"/>
            </w:pPr>
            <w:r>
              <w:t>+17,1</w:t>
            </w:r>
          </w:p>
        </w:tc>
        <w:tc>
          <w:tcPr>
            <w:tcW w:w="11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3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5A66F9" w:rsidP="00C53E16">
            <w:pPr>
              <w:jc w:val="both"/>
            </w:pPr>
            <w:r>
              <w:t>746,0</w:t>
            </w:r>
          </w:p>
        </w:tc>
        <w:tc>
          <w:tcPr>
            <w:tcW w:w="93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5A66F9" w:rsidP="00C53E16">
            <w:pPr>
              <w:jc w:val="both"/>
            </w:pPr>
            <w:r>
              <w:t>9</w:t>
            </w:r>
            <w:r w:rsidR="00F8516B">
              <w:t>0,0</w:t>
            </w:r>
          </w:p>
        </w:tc>
        <w:tc>
          <w:tcPr>
            <w:tcW w:w="9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  <w:tr w:rsidR="00F8516B" w:rsidTr="000939D8">
        <w:trPr>
          <w:trHeight w:val="251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F8516B" w:rsidRDefault="00F8516B" w:rsidP="00C53E16">
            <w:pPr>
              <w:jc w:val="both"/>
            </w:pPr>
            <w:r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811,5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F8516B" w:rsidP="00C53E16">
            <w:pPr>
              <w:snapToGrid w:val="0"/>
              <w:jc w:val="both"/>
            </w:pPr>
          </w:p>
          <w:p w:rsidR="00F8516B" w:rsidRDefault="000939D8" w:rsidP="00C53E16">
            <w:pPr>
              <w:jc w:val="both"/>
            </w:pPr>
            <w:r>
              <w:t>+17,1</w:t>
            </w:r>
          </w:p>
          <w:p w:rsidR="00F8516B" w:rsidRDefault="00F8516B" w:rsidP="00C53E16">
            <w:pPr>
              <w:jc w:val="both"/>
            </w:pPr>
          </w:p>
        </w:tc>
        <w:tc>
          <w:tcPr>
            <w:tcW w:w="11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0939D8" w:rsidP="00C53E16">
            <w:pPr>
              <w:jc w:val="both"/>
            </w:pPr>
            <w:r>
              <w:t>828,6</w:t>
            </w:r>
          </w:p>
        </w:tc>
        <w:tc>
          <w:tcPr>
            <w:tcW w:w="13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5A66F9" w:rsidP="00C53E16">
            <w:pPr>
              <w:jc w:val="both"/>
            </w:pPr>
            <w:r>
              <w:t>746</w:t>
            </w:r>
            <w:r w:rsidR="00F8516B">
              <w:t>,0</w:t>
            </w:r>
          </w:p>
        </w:tc>
        <w:tc>
          <w:tcPr>
            <w:tcW w:w="93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5A66F9" w:rsidP="00C53E16">
            <w:pPr>
              <w:jc w:val="both"/>
            </w:pPr>
            <w:r>
              <w:t>9</w:t>
            </w:r>
            <w:r w:rsidR="00F8516B">
              <w:t>0,0</w:t>
            </w:r>
          </w:p>
        </w:tc>
        <w:tc>
          <w:tcPr>
            <w:tcW w:w="9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</w:tbl>
    <w:p w:rsidR="00F8516B" w:rsidRDefault="00F8516B" w:rsidP="00F8516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5A66F9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представлена 1 разделом, по которому в течение года внесены изменения, которые в целом </w:t>
      </w:r>
      <w:r w:rsidR="005A66F9">
        <w:rPr>
          <w:sz w:val="28"/>
          <w:szCs w:val="28"/>
        </w:rPr>
        <w:t>увеличили</w:t>
      </w:r>
      <w:r>
        <w:rPr>
          <w:sz w:val="28"/>
          <w:szCs w:val="28"/>
        </w:rPr>
        <w:t xml:space="preserve"> общий объем бюджетных ассигнований на </w:t>
      </w:r>
      <w:r w:rsidR="005A66F9">
        <w:rPr>
          <w:sz w:val="28"/>
          <w:szCs w:val="28"/>
        </w:rPr>
        <w:t>17,1</w:t>
      </w:r>
      <w:r>
        <w:rPr>
          <w:sz w:val="28"/>
          <w:szCs w:val="28"/>
        </w:rPr>
        <w:t xml:space="preserve"> тыс. рублей или на </w:t>
      </w:r>
      <w:r w:rsidR="005A66F9">
        <w:rPr>
          <w:sz w:val="28"/>
          <w:szCs w:val="28"/>
        </w:rPr>
        <w:t>2,1</w:t>
      </w:r>
      <w:r>
        <w:rPr>
          <w:sz w:val="28"/>
          <w:szCs w:val="28"/>
        </w:rPr>
        <w:t xml:space="preserve">% от установленных первоначальных значений. </w:t>
      </w:r>
    </w:p>
    <w:p w:rsidR="008524D9" w:rsidRPr="008524D9" w:rsidRDefault="008524D9" w:rsidP="008524D9">
      <w:pPr>
        <w:suppressAutoHyphens w:val="0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8524D9">
        <w:rPr>
          <w:rFonts w:ascii="TimesNewRomanPSMT" w:hAnsi="TimesNewRomanPSMT"/>
          <w:color w:val="000000"/>
          <w:sz w:val="28"/>
          <w:szCs w:val="28"/>
        </w:rPr>
        <w:t>Контроль за</w:t>
      </w:r>
      <w:proofErr w:type="gramEnd"/>
      <w:r w:rsidRPr="008524D9">
        <w:rPr>
          <w:rFonts w:ascii="TimesNewRomanPSMT" w:hAnsi="TimesNewRomanPSMT"/>
          <w:color w:val="000000"/>
          <w:sz w:val="28"/>
          <w:szCs w:val="28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0503123 </w:t>
      </w:r>
      <w:r>
        <w:rPr>
          <w:rFonts w:ascii="TimesNewRomanPSMT" w:hAnsi="TimesNewRomanPSMT"/>
          <w:color w:val="000000"/>
          <w:sz w:val="28"/>
          <w:szCs w:val="28"/>
        </w:rPr>
        <w:t xml:space="preserve">контрольно-счетной комиссии 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в 2023 году произведена  уплата штрафов  на сумму</w:t>
      </w:r>
      <w:r>
        <w:rPr>
          <w:rFonts w:ascii="TimesNewRomanPSMT" w:hAnsi="TimesNewRomanPSMT"/>
          <w:color w:val="000000"/>
          <w:sz w:val="28"/>
          <w:szCs w:val="28"/>
        </w:rPr>
        <w:t xml:space="preserve"> 0,6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тыс</w:t>
      </w:r>
      <w:proofErr w:type="gramStart"/>
      <w:r w:rsidRPr="008524D9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Pr="008524D9">
        <w:rPr>
          <w:rFonts w:ascii="TimesNewRomanPSMT" w:hAnsi="TimesNewRomanPSMT"/>
          <w:color w:val="000000"/>
          <w:sz w:val="28"/>
          <w:szCs w:val="28"/>
        </w:rPr>
        <w:t xml:space="preserve">уб. Осуществление указанных расходов нарушает принцип эффективности и результативности использования бюджетных средств (нарушение требований ст.34, 162 БК РФ). Данные расходы не являются заданным результатом деятельности </w:t>
      </w:r>
      <w:r>
        <w:rPr>
          <w:rFonts w:ascii="TimesNewRomanPSMT" w:hAnsi="TimesNewRomanPSMT"/>
          <w:color w:val="000000"/>
          <w:sz w:val="28"/>
          <w:szCs w:val="28"/>
        </w:rPr>
        <w:t>контрольно-счетной комиссии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 являются неэффективными</w:t>
      </w:r>
    </w:p>
    <w:p w:rsidR="00F8516B" w:rsidRPr="00C33E69" w:rsidRDefault="00F8516B" w:rsidP="0063262F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A66F9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округа </w:t>
      </w:r>
      <w:r w:rsidR="00387E1F">
        <w:rPr>
          <w:sz w:val="28"/>
          <w:szCs w:val="28"/>
        </w:rPr>
        <w:t>КСК</w:t>
      </w:r>
      <w:r>
        <w:rPr>
          <w:sz w:val="28"/>
          <w:szCs w:val="28"/>
        </w:rPr>
        <w:t xml:space="preserve"> по расходам в 2023 году составило </w:t>
      </w:r>
      <w:r w:rsidR="005A66F9">
        <w:rPr>
          <w:sz w:val="28"/>
          <w:szCs w:val="28"/>
        </w:rPr>
        <w:t>746,0</w:t>
      </w:r>
      <w:r>
        <w:rPr>
          <w:sz w:val="28"/>
          <w:szCs w:val="28"/>
        </w:rPr>
        <w:t xml:space="preserve"> тыс. рублей или </w:t>
      </w:r>
      <w:r w:rsidR="005A66F9">
        <w:rPr>
          <w:sz w:val="28"/>
          <w:szCs w:val="28"/>
        </w:rPr>
        <w:t>9</w:t>
      </w:r>
      <w:r>
        <w:rPr>
          <w:sz w:val="28"/>
          <w:szCs w:val="28"/>
        </w:rPr>
        <w:t>0,0% бюджетных назначений, утвержденных решением о бюджете округа и бюджетных  ассигнований, предусмотренных сводной бюджетной росписью</w:t>
      </w:r>
      <w:r w:rsidRPr="00C33E69">
        <w:rPr>
          <w:sz w:val="28"/>
          <w:szCs w:val="28"/>
        </w:rPr>
        <w:t>. Отклонений сводной бюджетной росписи от плановых назначений, утвержденных решением о бюджете на 2023 год, не установлено.</w:t>
      </w:r>
    </w:p>
    <w:p w:rsidR="00C33E69" w:rsidRDefault="00C33E69" w:rsidP="00213CC8">
      <w:pPr>
        <w:suppressAutoHyphens w:val="0"/>
        <w:spacing w:before="120" w:after="12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213CC8" w:rsidRDefault="0063262F" w:rsidP="00213CC8">
      <w:pPr>
        <w:suppressAutoHyphens w:val="0"/>
        <w:spacing w:before="120" w:after="12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C33E69"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задолженности» в соответствии с п.167 Инструкции имеет два приложения -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Аналитические данные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3C7E3F" w:rsidRDefault="0063262F" w:rsidP="00213CC8">
      <w:pPr>
        <w:suppressAutoHyphens w:val="0"/>
        <w:spacing w:after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Дебиторская задолженность актива Баланса ф. 0503130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получателя бюджетных средств на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начало 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2023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составила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На конец отчетного периода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дебиторская задолженность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увеличилась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., уменьшилась на 20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,4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составила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12,6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 Дебиторская 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адолженность Баланса ф.0503130 получателя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бюджетных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средств соответствует Сведениям по дебиторской и кредиторской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задолженности ф.0503169.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дебиторская задолженность отсутствует.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6"/>
        <w:gridCol w:w="2080"/>
        <w:gridCol w:w="1272"/>
        <w:gridCol w:w="1571"/>
        <w:gridCol w:w="1236"/>
        <w:gridCol w:w="1378"/>
      </w:tblGrid>
      <w:tr w:rsidR="003A3972" w:rsidRPr="0063262F" w:rsidTr="003A3972">
        <w:trPr>
          <w:trHeight w:val="45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A3972">
        <w:trPr>
          <w:trHeight w:val="53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тыс.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сумма, 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A3972">
        <w:trPr>
          <w:trHeight w:val="54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E559EF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E559E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3A3972" w:rsidRPr="0063262F" w:rsidTr="003A3972">
        <w:trPr>
          <w:trHeight w:val="33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</w:t>
            </w:r>
            <w:r w:rsidR="00C33E69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0" w:type="auto"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3A3972" w:rsidRDefault="0063262F" w:rsidP="0028603A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структуре дебиторской задолженности наконец отчетного периода занимает дебиторская задолженность по платежам в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 в сумме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,6 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уб. или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%. </w:t>
      </w:r>
    </w:p>
    <w:p w:rsidR="003A3972" w:rsidRPr="0063262F" w:rsidRDefault="0063262F" w:rsidP="003A3972">
      <w:pPr>
        <w:suppressAutoHyphens w:val="0"/>
        <w:spacing w:before="120"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по выплатам (счет 130200000) на начало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 составила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,2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</w:t>
      </w:r>
      <w:r w:rsidR="0099505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(счет 130300000)</w:t>
      </w:r>
      <w:r w:rsidR="009D20C1" w:rsidRP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начало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 составила 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,6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6"/>
        <w:gridCol w:w="2080"/>
        <w:gridCol w:w="1272"/>
        <w:gridCol w:w="1571"/>
        <w:gridCol w:w="1236"/>
        <w:gridCol w:w="1378"/>
      </w:tblGrid>
      <w:tr w:rsidR="003A3972" w:rsidRPr="0063262F" w:rsidTr="00774E3E">
        <w:trPr>
          <w:trHeight w:val="45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774E3E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774E3E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774E3E">
        <w:trPr>
          <w:trHeight w:val="53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тыс.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сумма, 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A3972">
        <w:trPr>
          <w:trHeight w:val="56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130200000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17</w:t>
            </w:r>
            <w:r w:rsidR="00C33E69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9D20C1" w:rsidP="009D20C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36,7</w:t>
            </w:r>
          </w:p>
        </w:tc>
      </w:tr>
      <w:tr w:rsidR="003A3972" w:rsidRPr="0063262F" w:rsidTr="003A3972">
        <w:trPr>
          <w:trHeight w:val="46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29</w:t>
            </w:r>
            <w:r w:rsidR="00C33E69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5C4B75" w:rsidP="00774E3E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63,3</w:t>
            </w:r>
          </w:p>
        </w:tc>
      </w:tr>
      <w:tr w:rsidR="003A3972" w:rsidRPr="0063262F" w:rsidTr="00774E3E">
        <w:trPr>
          <w:trHeight w:val="33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D20C1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46</w:t>
            </w:r>
            <w:r w:rsidR="00C33E69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0" w:type="auto"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63262F" w:rsidRDefault="0063262F" w:rsidP="0028603A">
      <w:pPr>
        <w:suppressAutoHyphens w:val="0"/>
        <w:spacing w:before="120" w:line="240" w:lineRule="auto"/>
        <w:ind w:firstLine="708"/>
        <w:jc w:val="both"/>
        <w:rPr>
          <w:rFonts w:ascii="TimesNewRomanPSMT" w:hAnsi="TimesNewRomanPSMT"/>
          <w:color w:val="FF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ская задолженность по итогам 2023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сложилась по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proofErr w:type="gramStart"/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</w:t>
      </w:r>
      <w:proofErr w:type="gramEnd"/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заработной плате –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,2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руб., 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НДФЛ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,6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страховым взносам-25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 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Наличие</w:t>
      </w:r>
      <w:r w:rsidR="005C4B75"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неисполненных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денежных обязательств обусловлено поступлением документов на оплату от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контрагентов по окончании отчетного периода.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кредиторская задолженность отсутствует.</w:t>
      </w:r>
    </w:p>
    <w:p w:rsidR="003C7E3F" w:rsidRDefault="00564E91" w:rsidP="003C7E3F">
      <w:pPr>
        <w:suppressAutoHyphens w:val="0"/>
        <w:spacing w:before="120" w:after="120" w:line="240" w:lineRule="auto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5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564E91">
      <w:pPr>
        <w:suppressAutoHyphens w:val="0"/>
        <w:spacing w:before="120" w:after="120"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proofErr w:type="gramStart"/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proofErr w:type="gramEnd"/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онтрольно-счетной комиссии  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564E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соответствие плановых показателей, указанных в годовой бюджетной</w:t>
      </w:r>
      <w:r w:rsidR="0084294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="00BB3F44" w:rsidRPr="00BB3F44">
        <w:rPr>
          <w:bCs/>
          <w:iCs/>
          <w:sz w:val="28"/>
          <w:szCs w:val="28"/>
        </w:rPr>
        <w:t>.12.2023 №</w:t>
      </w:r>
      <w:r w:rsidR="009F33F9">
        <w:rPr>
          <w:bCs/>
          <w:iCs/>
          <w:sz w:val="28"/>
          <w:szCs w:val="28"/>
        </w:rPr>
        <w:t>61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 год и на плановый период 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3C7E3F" w:rsidRDefault="00886F2C" w:rsidP="009C0A3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Доходы бюджета за 2023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отсутствуют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F8516B" w:rsidRDefault="003C7E3F" w:rsidP="003C199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 бюджета за 2023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год: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утвержденные бюджетные назначения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828,6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.р</w:t>
      </w:r>
      <w:proofErr w:type="gramEnd"/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уб.;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лимиты бюджетных обязательств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828,6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тыс.руб.;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исполнение бюджетных назначений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746,0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тыс.руб., что составляет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9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% от утвержденных плановых показателей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неисполненные бюджетные назначения 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составили 46,7 тыс.руб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C4477">
        <w:rPr>
          <w:rFonts w:ascii="TimesNewRomanPSMT" w:hAnsi="TimesNewRomanPSMT"/>
          <w:color w:val="000000"/>
          <w:sz w:val="28"/>
          <w:szCs w:val="28"/>
        </w:rPr>
        <w:t>Дебиторская задолженность по данным бюджетной отчетности</w:t>
      </w:r>
      <w:r w:rsidRPr="005C4477">
        <w:rPr>
          <w:rFonts w:ascii="TimesNewRomanPSMT" w:hAnsi="TimesNewRomanPSMT"/>
          <w:color w:val="000000"/>
          <w:sz w:val="28"/>
          <w:szCs w:val="28"/>
        </w:rPr>
        <w:br/>
        <w:t xml:space="preserve">(ф.0503169) на конец отчетного периода составила </w:t>
      </w:r>
      <w:r w:rsidR="00F73DE4">
        <w:rPr>
          <w:rFonts w:ascii="TimesNewRomanPSMT" w:hAnsi="TimesNewRomanPSMT"/>
          <w:color w:val="000000"/>
          <w:sz w:val="28"/>
          <w:szCs w:val="28"/>
        </w:rPr>
        <w:t>12,6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5C4477">
        <w:rPr>
          <w:rFonts w:ascii="TimesNewRomanPSMT" w:hAnsi="TimesNewRomanPSMT"/>
          <w:color w:val="000000"/>
          <w:sz w:val="28"/>
          <w:szCs w:val="28"/>
        </w:rPr>
        <w:br/>
        <w:t>Просроченная дебиторская задолженность отсутствует.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C4477">
        <w:rPr>
          <w:rFonts w:ascii="TimesNewRomanPSMT" w:hAnsi="TimesNewRomanPSMT"/>
          <w:color w:val="000000"/>
          <w:sz w:val="28"/>
          <w:szCs w:val="28"/>
        </w:rPr>
        <w:t>Кредито</w:t>
      </w:r>
      <w:r>
        <w:rPr>
          <w:rFonts w:ascii="TimesNewRomanPSMT" w:hAnsi="TimesNewRomanPSMT"/>
          <w:color w:val="000000"/>
          <w:sz w:val="28"/>
          <w:szCs w:val="28"/>
        </w:rPr>
        <w:t xml:space="preserve">рская задолженность учреждения </w:t>
      </w:r>
      <w:proofErr w:type="gramStart"/>
      <w:r w:rsidRPr="005C4477">
        <w:rPr>
          <w:rFonts w:ascii="TimesNewRomanPSMT" w:hAnsi="TimesNewRomanPSMT"/>
          <w:color w:val="000000"/>
          <w:sz w:val="28"/>
          <w:szCs w:val="28"/>
        </w:rPr>
        <w:t>на конец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477">
        <w:rPr>
          <w:rFonts w:ascii="TimesNewRomanPSMT" w:hAnsi="TimesNewRomanPSMT"/>
          <w:color w:val="000000"/>
          <w:sz w:val="28"/>
          <w:szCs w:val="28"/>
        </w:rPr>
        <w:t>20</w:t>
      </w:r>
      <w:r>
        <w:rPr>
          <w:rFonts w:ascii="TimesNewRomanPSMT" w:hAnsi="TimesNewRomanPSMT"/>
          <w:color w:val="000000"/>
          <w:sz w:val="28"/>
          <w:szCs w:val="28"/>
        </w:rPr>
        <w:t>23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года составила </w:t>
      </w:r>
      <w:r w:rsidR="00F73DE4">
        <w:rPr>
          <w:rFonts w:ascii="TimesNewRomanPSMT" w:hAnsi="TimesNewRomanPSMT"/>
          <w:color w:val="000000"/>
          <w:sz w:val="28"/>
          <w:szCs w:val="28"/>
        </w:rPr>
        <w:t>46,8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руб. Просроченная кредиторская задолженность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477">
        <w:rPr>
          <w:rFonts w:ascii="TimesNewRomanPSMT" w:hAnsi="TimesNewRomanPSMT"/>
          <w:color w:val="000000"/>
          <w:sz w:val="28"/>
          <w:szCs w:val="28"/>
        </w:rPr>
        <w:t>отсутствует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Кроме этого, в</w:t>
      </w:r>
      <w:r w:rsidRPr="000F230B">
        <w:rPr>
          <w:rFonts w:eastAsia="Calibri"/>
          <w:bCs/>
          <w:sz w:val="28"/>
          <w:szCs w:val="28"/>
        </w:rPr>
        <w:t xml:space="preserve"> ходе проверки ГРБС выявлен факт несоблюдения главным администратором </w:t>
      </w:r>
      <w:r>
        <w:rPr>
          <w:rFonts w:eastAsia="Calibri"/>
          <w:bCs/>
          <w:sz w:val="28"/>
          <w:szCs w:val="28"/>
        </w:rPr>
        <w:t xml:space="preserve">бюджетных средств, принципа эффективности </w:t>
      </w:r>
      <w:r w:rsidRPr="00AC3A45">
        <w:rPr>
          <w:rFonts w:eastAsia="Calibri"/>
          <w:bCs/>
          <w:sz w:val="28"/>
          <w:szCs w:val="28"/>
        </w:rPr>
        <w:t xml:space="preserve">использования бюджетных средств, установленного статьей 34 БК РФ, в части средств, направленных на </w:t>
      </w:r>
      <w:r w:rsidRPr="00AC3A45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Pr="00AC3A4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0,6</w:t>
      </w:r>
      <w:r w:rsidRPr="00AC3A45">
        <w:rPr>
          <w:sz w:val="28"/>
          <w:szCs w:val="28"/>
        </w:rPr>
        <w:t xml:space="preserve"> тыс</w:t>
      </w:r>
      <w:proofErr w:type="gramStart"/>
      <w:r w:rsidRPr="00AC3A45">
        <w:rPr>
          <w:sz w:val="28"/>
          <w:szCs w:val="28"/>
        </w:rPr>
        <w:t>.р</w:t>
      </w:r>
      <w:proofErr w:type="gramEnd"/>
      <w:r w:rsidRPr="00AC3A45">
        <w:rPr>
          <w:sz w:val="28"/>
          <w:szCs w:val="28"/>
        </w:rPr>
        <w:t>уб</w:t>
      </w:r>
      <w:r w:rsidRPr="00AC3A45">
        <w:rPr>
          <w:rFonts w:eastAsia="Calibri"/>
          <w:bCs/>
          <w:sz w:val="28"/>
          <w:szCs w:val="28"/>
        </w:rPr>
        <w:t>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9F33F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F73DE4" w:rsidP="00886F2C">
      <w:pPr>
        <w:jc w:val="both"/>
      </w:pPr>
      <w:r>
        <w:rPr>
          <w:sz w:val="28"/>
          <w:szCs w:val="28"/>
        </w:rPr>
        <w:t xml:space="preserve">Чагодощенского муниципального </w:t>
      </w:r>
      <w:r w:rsidR="00A12122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                   </w:t>
      </w:r>
      <w:r w:rsidR="009F33F9">
        <w:rPr>
          <w:sz w:val="28"/>
          <w:szCs w:val="28"/>
        </w:rPr>
        <w:t xml:space="preserve">             </w:t>
      </w:r>
      <w:r w:rsidR="00A12122">
        <w:rPr>
          <w:sz w:val="28"/>
          <w:szCs w:val="28"/>
        </w:rPr>
        <w:t xml:space="preserve">   </w:t>
      </w:r>
      <w:r w:rsidR="009F33F9">
        <w:rPr>
          <w:sz w:val="28"/>
          <w:szCs w:val="28"/>
        </w:rPr>
        <w:t>Н.В.Васильева</w:t>
      </w:r>
    </w:p>
    <w:sectPr w:rsidR="00F56AA5" w:rsidSect="002E472E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12122"/>
    <w:rsid w:val="000458BF"/>
    <w:rsid w:val="000572D7"/>
    <w:rsid w:val="00071185"/>
    <w:rsid w:val="000939D8"/>
    <w:rsid w:val="000A13FB"/>
    <w:rsid w:val="000D6846"/>
    <w:rsid w:val="001218DE"/>
    <w:rsid w:val="00122844"/>
    <w:rsid w:val="0015389F"/>
    <w:rsid w:val="00213CC8"/>
    <w:rsid w:val="00226F7A"/>
    <w:rsid w:val="00233231"/>
    <w:rsid w:val="002415DD"/>
    <w:rsid w:val="002805A8"/>
    <w:rsid w:val="0028603A"/>
    <w:rsid w:val="002D319D"/>
    <w:rsid w:val="002D55CB"/>
    <w:rsid w:val="002E472E"/>
    <w:rsid w:val="003676C5"/>
    <w:rsid w:val="003800B1"/>
    <w:rsid w:val="00386F9B"/>
    <w:rsid w:val="00387E1F"/>
    <w:rsid w:val="003902C0"/>
    <w:rsid w:val="003A3972"/>
    <w:rsid w:val="003B52AD"/>
    <w:rsid w:val="003C1991"/>
    <w:rsid w:val="003C7E3F"/>
    <w:rsid w:val="003D3798"/>
    <w:rsid w:val="00417926"/>
    <w:rsid w:val="00492E16"/>
    <w:rsid w:val="004D0567"/>
    <w:rsid w:val="00554FDE"/>
    <w:rsid w:val="00564E91"/>
    <w:rsid w:val="00573821"/>
    <w:rsid w:val="00580610"/>
    <w:rsid w:val="005A4ADD"/>
    <w:rsid w:val="005A66F9"/>
    <w:rsid w:val="005C4B75"/>
    <w:rsid w:val="005D2EF9"/>
    <w:rsid w:val="005E5370"/>
    <w:rsid w:val="0063262F"/>
    <w:rsid w:val="00632664"/>
    <w:rsid w:val="00637D1E"/>
    <w:rsid w:val="006551A2"/>
    <w:rsid w:val="0067514E"/>
    <w:rsid w:val="00687AC2"/>
    <w:rsid w:val="00692C8F"/>
    <w:rsid w:val="00731CFC"/>
    <w:rsid w:val="00742187"/>
    <w:rsid w:val="00767080"/>
    <w:rsid w:val="007A48FB"/>
    <w:rsid w:val="007B6284"/>
    <w:rsid w:val="007D373C"/>
    <w:rsid w:val="007E54AE"/>
    <w:rsid w:val="008007A6"/>
    <w:rsid w:val="00801EF2"/>
    <w:rsid w:val="00810953"/>
    <w:rsid w:val="0084294D"/>
    <w:rsid w:val="008524D9"/>
    <w:rsid w:val="00883BC7"/>
    <w:rsid w:val="00886F2C"/>
    <w:rsid w:val="0089028D"/>
    <w:rsid w:val="00897D28"/>
    <w:rsid w:val="008A2EE9"/>
    <w:rsid w:val="008A32BF"/>
    <w:rsid w:val="008A427B"/>
    <w:rsid w:val="008D4EB5"/>
    <w:rsid w:val="0093483F"/>
    <w:rsid w:val="009376E8"/>
    <w:rsid w:val="0095296A"/>
    <w:rsid w:val="00967125"/>
    <w:rsid w:val="00974884"/>
    <w:rsid w:val="0097495C"/>
    <w:rsid w:val="0098045A"/>
    <w:rsid w:val="0099505E"/>
    <w:rsid w:val="009C0A38"/>
    <w:rsid w:val="009D20C1"/>
    <w:rsid w:val="009E452F"/>
    <w:rsid w:val="009F33F9"/>
    <w:rsid w:val="009F6972"/>
    <w:rsid w:val="00A12122"/>
    <w:rsid w:val="00A30899"/>
    <w:rsid w:val="00A44CE5"/>
    <w:rsid w:val="00A47C2F"/>
    <w:rsid w:val="00AC6B1D"/>
    <w:rsid w:val="00AD2F26"/>
    <w:rsid w:val="00AD3656"/>
    <w:rsid w:val="00B44F2B"/>
    <w:rsid w:val="00B668B8"/>
    <w:rsid w:val="00BB3F44"/>
    <w:rsid w:val="00BE393B"/>
    <w:rsid w:val="00BF6EB0"/>
    <w:rsid w:val="00C14BCF"/>
    <w:rsid w:val="00C220CD"/>
    <w:rsid w:val="00C33E69"/>
    <w:rsid w:val="00C4039B"/>
    <w:rsid w:val="00CD6795"/>
    <w:rsid w:val="00CD703D"/>
    <w:rsid w:val="00D040D4"/>
    <w:rsid w:val="00D32ACF"/>
    <w:rsid w:val="00D715FA"/>
    <w:rsid w:val="00D74E4E"/>
    <w:rsid w:val="00DA2C42"/>
    <w:rsid w:val="00DD5C6B"/>
    <w:rsid w:val="00DF214A"/>
    <w:rsid w:val="00E02D96"/>
    <w:rsid w:val="00E24754"/>
    <w:rsid w:val="00E4168D"/>
    <w:rsid w:val="00E41BAE"/>
    <w:rsid w:val="00E559EF"/>
    <w:rsid w:val="00EA7103"/>
    <w:rsid w:val="00EC6BD6"/>
    <w:rsid w:val="00EE0B91"/>
    <w:rsid w:val="00EE6E05"/>
    <w:rsid w:val="00F22E2E"/>
    <w:rsid w:val="00F2479C"/>
    <w:rsid w:val="00F56AA5"/>
    <w:rsid w:val="00F73DE4"/>
    <w:rsid w:val="00F83E60"/>
    <w:rsid w:val="00F84908"/>
    <w:rsid w:val="00F8516B"/>
    <w:rsid w:val="00FC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2E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472E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2E472E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2E472E"/>
    <w:rPr>
      <w:rFonts w:ascii="Courier New" w:hAnsi="Courier New" w:cs="Courier New"/>
    </w:rPr>
  </w:style>
  <w:style w:type="character" w:customStyle="1" w:styleId="WW8Num2z2">
    <w:name w:val="WW8Num2z2"/>
    <w:rsid w:val="002E472E"/>
    <w:rPr>
      <w:rFonts w:ascii="Wingdings" w:hAnsi="Wingdings" w:cs="Wingdings"/>
    </w:rPr>
  </w:style>
  <w:style w:type="character" w:customStyle="1" w:styleId="WW8Num2z3">
    <w:name w:val="WW8Num2z3"/>
    <w:rsid w:val="002E472E"/>
    <w:rPr>
      <w:rFonts w:ascii="Symbol" w:hAnsi="Symbol" w:cs="Symbol"/>
    </w:rPr>
  </w:style>
  <w:style w:type="character" w:customStyle="1" w:styleId="WW8Num2z4">
    <w:name w:val="WW8Num2z4"/>
    <w:rsid w:val="002E472E"/>
  </w:style>
  <w:style w:type="character" w:customStyle="1" w:styleId="WW8Num2z5">
    <w:name w:val="WW8Num2z5"/>
    <w:rsid w:val="002E472E"/>
  </w:style>
  <w:style w:type="character" w:customStyle="1" w:styleId="WW8Num2z6">
    <w:name w:val="WW8Num2z6"/>
    <w:rsid w:val="002E472E"/>
  </w:style>
  <w:style w:type="character" w:customStyle="1" w:styleId="WW8Num2z7">
    <w:name w:val="WW8Num2z7"/>
    <w:rsid w:val="002E472E"/>
  </w:style>
  <w:style w:type="character" w:customStyle="1" w:styleId="WW8Num2z8">
    <w:name w:val="WW8Num2z8"/>
    <w:rsid w:val="002E472E"/>
  </w:style>
  <w:style w:type="character" w:customStyle="1" w:styleId="WW8Num3z0">
    <w:name w:val="WW8Num3z0"/>
    <w:rsid w:val="002E472E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2E472E"/>
  </w:style>
  <w:style w:type="character" w:customStyle="1" w:styleId="WW8Num3z2">
    <w:name w:val="WW8Num3z2"/>
    <w:rsid w:val="002E472E"/>
  </w:style>
  <w:style w:type="character" w:customStyle="1" w:styleId="WW8Num3z3">
    <w:name w:val="WW8Num3z3"/>
    <w:rsid w:val="002E472E"/>
  </w:style>
  <w:style w:type="character" w:customStyle="1" w:styleId="WW8Num3z4">
    <w:name w:val="WW8Num3z4"/>
    <w:rsid w:val="002E472E"/>
  </w:style>
  <w:style w:type="character" w:customStyle="1" w:styleId="WW8Num3z5">
    <w:name w:val="WW8Num3z5"/>
    <w:rsid w:val="002E472E"/>
  </w:style>
  <w:style w:type="character" w:customStyle="1" w:styleId="WW8Num3z6">
    <w:name w:val="WW8Num3z6"/>
    <w:rsid w:val="002E472E"/>
  </w:style>
  <w:style w:type="character" w:customStyle="1" w:styleId="WW8Num3z7">
    <w:name w:val="WW8Num3z7"/>
    <w:rsid w:val="002E472E"/>
  </w:style>
  <w:style w:type="character" w:customStyle="1" w:styleId="WW8Num3z8">
    <w:name w:val="WW8Num3z8"/>
    <w:rsid w:val="002E472E"/>
  </w:style>
  <w:style w:type="character" w:customStyle="1" w:styleId="WW8Num1z1">
    <w:name w:val="WW8Num1z1"/>
    <w:rsid w:val="002E472E"/>
    <w:rPr>
      <w:rFonts w:ascii="Courier New" w:hAnsi="Courier New" w:cs="Courier New"/>
    </w:rPr>
  </w:style>
  <w:style w:type="character" w:customStyle="1" w:styleId="WW8Num1z2">
    <w:name w:val="WW8Num1z2"/>
    <w:rsid w:val="002E472E"/>
    <w:rPr>
      <w:rFonts w:ascii="Wingdings" w:hAnsi="Wingdings" w:cs="Wingdings"/>
    </w:rPr>
  </w:style>
  <w:style w:type="character" w:customStyle="1" w:styleId="WW8Num1z3">
    <w:name w:val="WW8Num1z3"/>
    <w:rsid w:val="002E472E"/>
    <w:rPr>
      <w:rFonts w:ascii="Symbol" w:hAnsi="Symbol" w:cs="Symbol"/>
    </w:rPr>
  </w:style>
  <w:style w:type="character" w:customStyle="1" w:styleId="1">
    <w:name w:val="Основной шрифт абзаца1"/>
    <w:rsid w:val="002E472E"/>
  </w:style>
  <w:style w:type="character" w:customStyle="1" w:styleId="a3">
    <w:name w:val="Основной текст Знак"/>
    <w:basedOn w:val="1"/>
    <w:rsid w:val="002E472E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2E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2E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2E472E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2E472E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2E472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2E472E"/>
    <w:rPr>
      <w:vertAlign w:val="superscript"/>
    </w:rPr>
  </w:style>
  <w:style w:type="character" w:customStyle="1" w:styleId="a8">
    <w:name w:val="Название Знак"/>
    <w:basedOn w:val="1"/>
    <w:rsid w:val="002E472E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2E472E"/>
    <w:rPr>
      <w:color w:val="5A5A5A"/>
      <w:spacing w:val="15"/>
    </w:rPr>
  </w:style>
  <w:style w:type="character" w:customStyle="1" w:styleId="ListLabel1">
    <w:name w:val="ListLabel 1"/>
    <w:rsid w:val="002E472E"/>
    <w:rPr>
      <w:i/>
    </w:rPr>
  </w:style>
  <w:style w:type="character" w:customStyle="1" w:styleId="ListLabel2">
    <w:name w:val="ListLabel 2"/>
    <w:rsid w:val="002E472E"/>
    <w:rPr>
      <w:rFonts w:cs="Courier New"/>
    </w:rPr>
  </w:style>
  <w:style w:type="character" w:customStyle="1" w:styleId="ListLabel3">
    <w:name w:val="ListLabel 3"/>
    <w:rsid w:val="002E472E"/>
    <w:rPr>
      <w:rFonts w:cs="OpenSymbol"/>
    </w:rPr>
  </w:style>
  <w:style w:type="character" w:customStyle="1" w:styleId="ListLabel4">
    <w:name w:val="ListLabel 4"/>
    <w:rsid w:val="002E472E"/>
    <w:rPr>
      <w:b w:val="0"/>
      <w:sz w:val="22"/>
      <w:szCs w:val="22"/>
    </w:rPr>
  </w:style>
  <w:style w:type="character" w:customStyle="1" w:styleId="ListLabel5">
    <w:name w:val="ListLabel 5"/>
    <w:rsid w:val="002E472E"/>
    <w:rPr>
      <w:rFonts w:cs="OpenSymbol"/>
      <w:sz w:val="28"/>
      <w:szCs w:val="28"/>
    </w:rPr>
  </w:style>
  <w:style w:type="character" w:customStyle="1" w:styleId="ListLabel6">
    <w:name w:val="ListLabel 6"/>
    <w:rsid w:val="002E472E"/>
    <w:rPr>
      <w:color w:val="00000A"/>
    </w:rPr>
  </w:style>
  <w:style w:type="character" w:styleId="aa">
    <w:name w:val="Hyperlink"/>
    <w:rsid w:val="002E472E"/>
    <w:rPr>
      <w:color w:val="000080"/>
      <w:u w:val="single"/>
    </w:rPr>
  </w:style>
  <w:style w:type="character" w:customStyle="1" w:styleId="ab">
    <w:name w:val="Символ нумерации"/>
    <w:rsid w:val="002E472E"/>
  </w:style>
  <w:style w:type="character" w:customStyle="1" w:styleId="ac">
    <w:name w:val="Маркеры списка"/>
    <w:rsid w:val="002E472E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2E47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2E472E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2E472E"/>
    <w:rPr>
      <w:rFonts w:cs="Mangal"/>
    </w:rPr>
  </w:style>
  <w:style w:type="paragraph" w:customStyle="1" w:styleId="12">
    <w:name w:val="Название1"/>
    <w:basedOn w:val="a"/>
    <w:rsid w:val="002E47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E472E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2E472E"/>
    <w:pPr>
      <w:spacing w:after="200"/>
      <w:ind w:left="720"/>
    </w:pPr>
  </w:style>
  <w:style w:type="paragraph" w:styleId="af0">
    <w:name w:val="header"/>
    <w:basedOn w:val="a"/>
    <w:rsid w:val="002E472E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2E472E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2E47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E472E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2E472E"/>
    <w:rPr>
      <w:sz w:val="20"/>
      <w:szCs w:val="20"/>
    </w:rPr>
  </w:style>
  <w:style w:type="paragraph" w:customStyle="1" w:styleId="ConsPlusNormal">
    <w:name w:val="ConsPlusNormal"/>
    <w:rsid w:val="002E472E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2E472E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2E472E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2E472E"/>
    <w:pPr>
      <w:suppressLineNumbers/>
    </w:pPr>
  </w:style>
  <w:style w:type="paragraph" w:customStyle="1" w:styleId="af5">
    <w:name w:val="Заголовок таблицы"/>
    <w:basedOn w:val="af4"/>
    <w:rsid w:val="002E472E"/>
    <w:pPr>
      <w:jc w:val="center"/>
    </w:pPr>
    <w:rPr>
      <w:b/>
      <w:bCs/>
    </w:rPr>
  </w:style>
  <w:style w:type="paragraph" w:customStyle="1" w:styleId="ConsPlusNormal0">
    <w:name w:val="ConsPlusNormal"/>
    <w:rsid w:val="002E472E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2E472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BFF6-B6C8-484A-B522-D50D5D96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Светлана Сергеевна</dc:creator>
  <cp:lastModifiedBy>user</cp:lastModifiedBy>
  <cp:revision>27</cp:revision>
  <cp:lastPrinted>2024-04-08T11:25:00Z</cp:lastPrinted>
  <dcterms:created xsi:type="dcterms:W3CDTF">2024-03-21T14:21:00Z</dcterms:created>
  <dcterms:modified xsi:type="dcterms:W3CDTF">2024-04-08T11:57:00Z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