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B3A" w:rsidRDefault="008C1823">
      <w:pPr>
        <w:shd w:val="clear" w:color="auto" w:fill="FFFFFF"/>
        <w:spacing w:before="374"/>
        <w:ind w:right="10"/>
        <w:jc w:val="center"/>
        <w:rPr>
          <w:rFonts w:eastAsia="Times New Roman"/>
          <w:i/>
          <w:iCs/>
          <w:spacing w:val="-1"/>
          <w:sz w:val="28"/>
          <w:szCs w:val="28"/>
        </w:rPr>
      </w:pPr>
      <w:r>
        <w:rPr>
          <w:rFonts w:eastAsia="Times New Roman"/>
          <w:i/>
          <w:iCs/>
          <w:spacing w:val="-1"/>
          <w:sz w:val="28"/>
          <w:szCs w:val="28"/>
        </w:rPr>
        <w:t xml:space="preserve">Финансово-экономическое </w:t>
      </w:r>
      <w:r w:rsidR="00452887">
        <w:rPr>
          <w:rFonts w:eastAsia="Times New Roman"/>
          <w:i/>
          <w:iCs/>
          <w:spacing w:val="-1"/>
          <w:sz w:val="28"/>
          <w:szCs w:val="28"/>
        </w:rPr>
        <w:t>состояние организаций</w:t>
      </w:r>
      <w:r w:rsidR="00CA26EB" w:rsidRPr="00CA26EB">
        <w:rPr>
          <w:rFonts w:eastAsia="Times New Roman"/>
          <w:i/>
          <w:iCs/>
          <w:spacing w:val="-1"/>
          <w:sz w:val="28"/>
          <w:szCs w:val="28"/>
          <w:vertAlign w:val="superscript"/>
        </w:rPr>
        <w:t>1</w:t>
      </w:r>
    </w:p>
    <w:p w:rsidR="00DD327A" w:rsidRPr="003778E1" w:rsidRDefault="00DD327A" w:rsidP="00DD327A">
      <w:pPr>
        <w:spacing w:line="180" w:lineRule="exact"/>
        <w:jc w:val="center"/>
        <w:rPr>
          <w:i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8"/>
        <w:gridCol w:w="2336"/>
        <w:gridCol w:w="2335"/>
      </w:tblGrid>
      <w:tr w:rsidR="00DD327A" w:rsidRPr="003778E1" w:rsidTr="003B01EF">
        <w:trPr>
          <w:trHeight w:val="562"/>
          <w:jc w:val="center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327A" w:rsidRPr="003778E1" w:rsidRDefault="00DD327A" w:rsidP="003B01EF">
            <w:pPr>
              <w:ind w:left="120"/>
            </w:pPr>
          </w:p>
        </w:tc>
        <w:tc>
          <w:tcPr>
            <w:tcW w:w="1212" w:type="pct"/>
            <w:tcBorders>
              <w:top w:val="single" w:sz="4" w:space="0" w:color="auto"/>
              <w:bottom w:val="single" w:sz="4" w:space="0" w:color="auto"/>
            </w:tcBorders>
          </w:tcPr>
          <w:p w:rsidR="00DD327A" w:rsidRPr="00F206D2" w:rsidRDefault="00DD327A" w:rsidP="003B01EF">
            <w:pPr>
              <w:jc w:val="center"/>
              <w:rPr>
                <w:lang w:val="en-US"/>
              </w:rPr>
            </w:pPr>
            <w:r>
              <w:t>Январь-</w:t>
            </w:r>
            <w:r w:rsidR="00CA26EB">
              <w:t>ноябрь</w:t>
            </w:r>
          </w:p>
          <w:p w:rsidR="00DD327A" w:rsidRPr="000426A2" w:rsidRDefault="00DD327A" w:rsidP="003B01EF">
            <w:pPr>
              <w:jc w:val="center"/>
            </w:pPr>
            <w:r w:rsidRPr="000426A2">
              <w:t>20</w:t>
            </w:r>
            <w:r>
              <w:rPr>
                <w:lang w:val="en-US"/>
              </w:rPr>
              <w:t>2</w:t>
            </w:r>
            <w:r>
              <w:t>3г.</w:t>
            </w: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327A" w:rsidRDefault="00DD327A" w:rsidP="003B01EF">
            <w:pPr>
              <w:jc w:val="center"/>
            </w:pPr>
            <w:r>
              <w:t xml:space="preserve">В % к </w:t>
            </w:r>
          </w:p>
          <w:p w:rsidR="00DD327A" w:rsidRDefault="00DD327A" w:rsidP="003B01EF">
            <w:pPr>
              <w:jc w:val="center"/>
            </w:pPr>
            <w:r>
              <w:t>январю-</w:t>
            </w:r>
            <w:r w:rsidR="00CA26EB">
              <w:t>ноябрю</w:t>
            </w:r>
          </w:p>
          <w:p w:rsidR="00DD327A" w:rsidRPr="000426A2" w:rsidRDefault="00DD327A" w:rsidP="003B01EF">
            <w:pPr>
              <w:jc w:val="center"/>
            </w:pPr>
            <w:r w:rsidRPr="000426A2">
              <w:t>20</w:t>
            </w:r>
            <w:r>
              <w:t>22г.</w:t>
            </w:r>
          </w:p>
        </w:tc>
      </w:tr>
      <w:tr w:rsidR="00DD327A" w:rsidRPr="003778E1" w:rsidTr="003B01EF">
        <w:trPr>
          <w:jc w:val="center"/>
        </w:trPr>
        <w:tc>
          <w:tcPr>
            <w:tcW w:w="2577" w:type="pct"/>
            <w:tcBorders>
              <w:top w:val="single" w:sz="4" w:space="0" w:color="auto"/>
            </w:tcBorders>
            <w:vAlign w:val="bottom"/>
          </w:tcPr>
          <w:p w:rsidR="00DD327A" w:rsidRPr="003778E1" w:rsidRDefault="00DD327A" w:rsidP="00CA26EB">
            <w:r w:rsidRPr="003778E1">
              <w:t xml:space="preserve">Прибыль (убыток) до налогообложения, </w:t>
            </w:r>
            <w:r w:rsidR="00CA26EB" w:rsidRPr="00CA26EB">
              <w:rPr>
                <w:vertAlign w:val="superscript"/>
              </w:rPr>
              <w:t>2</w:t>
            </w:r>
            <w:r w:rsidR="00CA26EB">
              <w:rPr>
                <w:vertAlign w:val="superscript"/>
              </w:rPr>
              <w:t xml:space="preserve"> </w:t>
            </w:r>
            <w:r w:rsidRPr="003778E1">
              <w:t>тысяч рублей</w:t>
            </w:r>
          </w:p>
        </w:tc>
        <w:tc>
          <w:tcPr>
            <w:tcW w:w="1212" w:type="pct"/>
            <w:tcBorders>
              <w:top w:val="single" w:sz="4" w:space="0" w:color="auto"/>
            </w:tcBorders>
            <w:vAlign w:val="bottom"/>
          </w:tcPr>
          <w:p w:rsidR="00DD327A" w:rsidRPr="00240223" w:rsidRDefault="00CA26EB" w:rsidP="003B01EF">
            <w:pPr>
              <w:tabs>
                <w:tab w:val="left" w:pos="1166"/>
              </w:tabs>
              <w:ind w:right="674"/>
              <w:jc w:val="right"/>
              <w:rPr>
                <w:rFonts w:eastAsia="Calibri"/>
              </w:rPr>
            </w:pPr>
            <w:r>
              <w:t>860082</w:t>
            </w:r>
          </w:p>
        </w:tc>
        <w:tc>
          <w:tcPr>
            <w:tcW w:w="1211" w:type="pct"/>
            <w:tcBorders>
              <w:top w:val="single" w:sz="4" w:space="0" w:color="auto"/>
            </w:tcBorders>
            <w:vAlign w:val="bottom"/>
          </w:tcPr>
          <w:p w:rsidR="00DD327A" w:rsidRPr="00240223" w:rsidRDefault="00CA26EB" w:rsidP="003B01EF">
            <w:pPr>
              <w:tabs>
                <w:tab w:val="left" w:pos="885"/>
                <w:tab w:val="left" w:pos="1520"/>
              </w:tabs>
              <w:ind w:right="741"/>
              <w:jc w:val="right"/>
              <w:rPr>
                <w:rFonts w:eastAsia="Calibri"/>
              </w:rPr>
            </w:pPr>
            <w:r>
              <w:t>158,8</w:t>
            </w:r>
          </w:p>
        </w:tc>
      </w:tr>
      <w:tr w:rsidR="00DD327A" w:rsidRPr="003778E1" w:rsidTr="003B01EF">
        <w:trPr>
          <w:jc w:val="center"/>
        </w:trPr>
        <w:tc>
          <w:tcPr>
            <w:tcW w:w="2577" w:type="pct"/>
            <w:vAlign w:val="bottom"/>
          </w:tcPr>
          <w:p w:rsidR="00DD327A" w:rsidRPr="003778E1" w:rsidRDefault="00DD327A" w:rsidP="003B01EF">
            <w:r w:rsidRPr="003778E1">
              <w:t xml:space="preserve">Сумма прибыли, </w:t>
            </w:r>
            <w:r w:rsidRPr="003778E1">
              <w:rPr>
                <w:vertAlign w:val="superscript"/>
              </w:rPr>
              <w:t>2</w:t>
            </w:r>
            <w:r w:rsidRPr="003778E1">
              <w:t xml:space="preserve"> тысяч рублей</w:t>
            </w:r>
          </w:p>
        </w:tc>
        <w:tc>
          <w:tcPr>
            <w:tcW w:w="1212" w:type="pct"/>
            <w:vAlign w:val="bottom"/>
          </w:tcPr>
          <w:p w:rsidR="00DD327A" w:rsidRPr="00240223" w:rsidRDefault="00DD327A" w:rsidP="003B01EF">
            <w:pPr>
              <w:tabs>
                <w:tab w:val="left" w:pos="1166"/>
              </w:tabs>
              <w:ind w:right="674"/>
              <w:jc w:val="right"/>
            </w:pPr>
            <w:r w:rsidRPr="00240223">
              <w:t>…</w:t>
            </w:r>
          </w:p>
        </w:tc>
        <w:tc>
          <w:tcPr>
            <w:tcW w:w="1211" w:type="pct"/>
            <w:vAlign w:val="bottom"/>
          </w:tcPr>
          <w:p w:rsidR="00DD327A" w:rsidRPr="00240223" w:rsidRDefault="00CA26EB" w:rsidP="003B01EF">
            <w:pPr>
              <w:tabs>
                <w:tab w:val="left" w:pos="885"/>
                <w:tab w:val="left" w:pos="1520"/>
              </w:tabs>
              <w:ind w:right="741"/>
              <w:jc w:val="right"/>
            </w:pPr>
            <w:r>
              <w:t>147,6</w:t>
            </w:r>
          </w:p>
        </w:tc>
      </w:tr>
      <w:tr w:rsidR="00DD327A" w:rsidRPr="003778E1" w:rsidTr="003B01EF">
        <w:trPr>
          <w:jc w:val="center"/>
        </w:trPr>
        <w:tc>
          <w:tcPr>
            <w:tcW w:w="2577" w:type="pct"/>
            <w:vAlign w:val="bottom"/>
          </w:tcPr>
          <w:p w:rsidR="00DD327A" w:rsidRPr="003778E1" w:rsidRDefault="00DD327A" w:rsidP="003B01EF">
            <w:r w:rsidRPr="003778E1">
              <w:t xml:space="preserve">Сумма убытка, </w:t>
            </w:r>
            <w:r w:rsidRPr="003778E1">
              <w:rPr>
                <w:vertAlign w:val="superscript"/>
              </w:rPr>
              <w:t>2</w:t>
            </w:r>
            <w:r w:rsidRPr="003778E1">
              <w:t xml:space="preserve"> тысяч рублей</w:t>
            </w:r>
          </w:p>
        </w:tc>
        <w:tc>
          <w:tcPr>
            <w:tcW w:w="1212" w:type="pct"/>
            <w:vAlign w:val="bottom"/>
          </w:tcPr>
          <w:p w:rsidR="00DD327A" w:rsidRPr="00240223" w:rsidRDefault="00DD327A" w:rsidP="003B01EF">
            <w:pPr>
              <w:tabs>
                <w:tab w:val="left" w:pos="1166"/>
              </w:tabs>
              <w:ind w:right="674"/>
              <w:jc w:val="right"/>
            </w:pPr>
            <w:r w:rsidRPr="00240223">
              <w:t>…</w:t>
            </w:r>
          </w:p>
        </w:tc>
        <w:tc>
          <w:tcPr>
            <w:tcW w:w="1211" w:type="pct"/>
            <w:vAlign w:val="bottom"/>
          </w:tcPr>
          <w:p w:rsidR="00DD327A" w:rsidRPr="00240223" w:rsidRDefault="00CA26EB" w:rsidP="003B01EF">
            <w:pPr>
              <w:tabs>
                <w:tab w:val="left" w:pos="885"/>
                <w:tab w:val="left" w:pos="1520"/>
              </w:tabs>
              <w:ind w:right="741"/>
              <w:jc w:val="right"/>
            </w:pPr>
            <w:r>
              <w:t>35,1</w:t>
            </w:r>
          </w:p>
        </w:tc>
      </w:tr>
      <w:tr w:rsidR="00DD327A" w:rsidRPr="003778E1" w:rsidTr="003B01EF">
        <w:trPr>
          <w:trHeight w:val="70"/>
          <w:jc w:val="center"/>
        </w:trPr>
        <w:tc>
          <w:tcPr>
            <w:tcW w:w="2577" w:type="pct"/>
            <w:vAlign w:val="bottom"/>
          </w:tcPr>
          <w:p w:rsidR="00DD327A" w:rsidRPr="003778E1" w:rsidRDefault="00DD327A" w:rsidP="003B01EF">
            <w:r w:rsidRPr="003778E1">
              <w:t>Удельный вес прибыльных организаций, %</w:t>
            </w:r>
          </w:p>
        </w:tc>
        <w:tc>
          <w:tcPr>
            <w:tcW w:w="1212" w:type="pct"/>
          </w:tcPr>
          <w:p w:rsidR="00DD327A" w:rsidRPr="00240223" w:rsidRDefault="00DD327A" w:rsidP="003B01EF">
            <w:pPr>
              <w:ind w:right="674"/>
              <w:jc w:val="right"/>
            </w:pPr>
            <w:r>
              <w:t>60,0</w:t>
            </w:r>
          </w:p>
        </w:tc>
        <w:tc>
          <w:tcPr>
            <w:tcW w:w="1211" w:type="pct"/>
            <w:vAlign w:val="bottom"/>
          </w:tcPr>
          <w:p w:rsidR="00DD327A" w:rsidRPr="00240223" w:rsidRDefault="00DD327A" w:rsidP="003B01EF">
            <w:pPr>
              <w:tabs>
                <w:tab w:val="left" w:pos="885"/>
                <w:tab w:val="left" w:pos="1520"/>
              </w:tabs>
              <w:ind w:right="741"/>
              <w:jc w:val="right"/>
            </w:pPr>
            <w:r w:rsidRPr="00240223">
              <w:t>х</w:t>
            </w:r>
          </w:p>
        </w:tc>
      </w:tr>
      <w:tr w:rsidR="00DD327A" w:rsidRPr="003778E1" w:rsidTr="003B01EF">
        <w:trPr>
          <w:jc w:val="center"/>
        </w:trPr>
        <w:tc>
          <w:tcPr>
            <w:tcW w:w="2577" w:type="pct"/>
            <w:vAlign w:val="bottom"/>
          </w:tcPr>
          <w:p w:rsidR="00DD327A" w:rsidRPr="003778E1" w:rsidRDefault="00DD327A" w:rsidP="003B01EF">
            <w:r w:rsidRPr="003778E1">
              <w:t>Удельный вес убыточных организаций, %</w:t>
            </w:r>
          </w:p>
        </w:tc>
        <w:tc>
          <w:tcPr>
            <w:tcW w:w="1212" w:type="pct"/>
          </w:tcPr>
          <w:p w:rsidR="00DD327A" w:rsidRPr="00240223" w:rsidRDefault="00DD327A" w:rsidP="003B01EF">
            <w:pPr>
              <w:ind w:right="674"/>
              <w:jc w:val="right"/>
            </w:pPr>
            <w:r>
              <w:t>40,0</w:t>
            </w:r>
          </w:p>
        </w:tc>
        <w:tc>
          <w:tcPr>
            <w:tcW w:w="1211" w:type="pct"/>
            <w:vAlign w:val="bottom"/>
          </w:tcPr>
          <w:p w:rsidR="00DD327A" w:rsidRPr="00240223" w:rsidRDefault="00DD327A" w:rsidP="003B01EF">
            <w:pPr>
              <w:tabs>
                <w:tab w:val="left" w:pos="885"/>
                <w:tab w:val="left" w:pos="1520"/>
              </w:tabs>
              <w:ind w:right="741"/>
              <w:jc w:val="right"/>
            </w:pPr>
            <w:r w:rsidRPr="00240223">
              <w:t>х</w:t>
            </w:r>
          </w:p>
        </w:tc>
      </w:tr>
      <w:tr w:rsidR="00CA26EB" w:rsidRPr="003778E1" w:rsidTr="00CA26EB">
        <w:trPr>
          <w:jc w:val="center"/>
        </w:trPr>
        <w:tc>
          <w:tcPr>
            <w:tcW w:w="5000" w:type="pct"/>
            <w:gridSpan w:val="3"/>
            <w:vAlign w:val="bottom"/>
          </w:tcPr>
          <w:p w:rsidR="00CA26EB" w:rsidRDefault="00CA26EB" w:rsidP="003B01EF"/>
          <w:p w:rsidR="00CA26EB" w:rsidRDefault="00CA26EB" w:rsidP="003B01EF"/>
          <w:p w:rsidR="00CA26EB" w:rsidRDefault="00CA26EB" w:rsidP="003B01EF"/>
          <w:p w:rsidR="00CA26EB" w:rsidRDefault="00CA26EB" w:rsidP="00CA26EB">
            <w:pPr>
              <w:shd w:val="clear" w:color="auto" w:fill="FFFFFF"/>
              <w:spacing w:line="182" w:lineRule="exact"/>
            </w:pPr>
            <w:bookmarkStart w:id="0" w:name="_GoBack"/>
            <w:r w:rsidRPr="00CA26EB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/>
                <w:spacing w:val="-7"/>
                <w:sz w:val="16"/>
                <w:szCs w:val="16"/>
              </w:rPr>
              <w:t>Без</w:t>
            </w:r>
            <w:r>
              <w:rPr>
                <w:rFonts w:ascii="Arial" w:eastAsia="Times New Roman" w:hAnsi="Arial" w:cs="Arial"/>
                <w:spacing w:val="-7"/>
                <w:sz w:val="18"/>
                <w:szCs w:val="18"/>
              </w:rPr>
              <w:t xml:space="preserve">      </w:t>
            </w:r>
            <w:r>
              <w:rPr>
                <w:rFonts w:ascii="Arial" w:eastAsia="Times New Roman" w:hAnsi="Arial"/>
                <w:spacing w:val="-7"/>
                <w:sz w:val="16"/>
                <w:szCs w:val="16"/>
              </w:rPr>
              <w:t>субъектов</w:t>
            </w:r>
            <w:r>
              <w:rPr>
                <w:rFonts w:ascii="Arial" w:eastAsia="Times New Roman" w:hAnsi="Arial" w:cs="Arial"/>
                <w:spacing w:val="-7"/>
                <w:sz w:val="18"/>
                <w:szCs w:val="18"/>
              </w:rPr>
              <w:t xml:space="preserve">      </w:t>
            </w:r>
            <w:r>
              <w:rPr>
                <w:rFonts w:ascii="Arial" w:eastAsia="Times New Roman" w:hAnsi="Arial"/>
                <w:spacing w:val="-7"/>
                <w:sz w:val="16"/>
                <w:szCs w:val="16"/>
              </w:rPr>
              <w:t>малого</w:t>
            </w:r>
            <w:r>
              <w:rPr>
                <w:rFonts w:ascii="Arial" w:eastAsia="Times New Roman" w:hAnsi="Arial" w:cs="Arial"/>
                <w:spacing w:val="-7"/>
                <w:sz w:val="18"/>
                <w:szCs w:val="18"/>
              </w:rPr>
              <w:t xml:space="preserve">      </w:t>
            </w:r>
            <w:r>
              <w:rPr>
                <w:rFonts w:ascii="Arial" w:eastAsia="Times New Roman" w:hAnsi="Arial"/>
                <w:spacing w:val="-7"/>
                <w:sz w:val="16"/>
                <w:szCs w:val="16"/>
              </w:rPr>
              <w:t>предпринимательства</w:t>
            </w:r>
            <w:r>
              <w:rPr>
                <w:rFonts w:ascii="Arial" w:eastAsia="Times New Roman" w:hAnsi="Arial" w:cs="Arial"/>
                <w:spacing w:val="-7"/>
                <w:sz w:val="16"/>
                <w:szCs w:val="16"/>
              </w:rPr>
              <w:t>,</w:t>
            </w:r>
            <w:r>
              <w:rPr>
                <w:rFonts w:ascii="Arial" w:eastAsia="Times New Roman" w:hAnsi="Arial" w:cs="Arial"/>
                <w:spacing w:val="-7"/>
                <w:sz w:val="18"/>
                <w:szCs w:val="18"/>
              </w:rPr>
              <w:t xml:space="preserve">     </w:t>
            </w:r>
            <w:r>
              <w:rPr>
                <w:rFonts w:ascii="Arial" w:eastAsia="Times New Roman" w:hAnsi="Arial"/>
                <w:spacing w:val="-7"/>
                <w:sz w:val="16"/>
                <w:szCs w:val="16"/>
              </w:rPr>
              <w:t>кредитных</w:t>
            </w:r>
            <w:r>
              <w:rPr>
                <w:rFonts w:ascii="Arial" w:eastAsia="Times New Roman" w:hAnsi="Arial" w:cs="Arial"/>
                <w:spacing w:val="-7"/>
                <w:sz w:val="18"/>
                <w:szCs w:val="18"/>
              </w:rPr>
              <w:t xml:space="preserve">     </w:t>
            </w:r>
            <w:r>
              <w:rPr>
                <w:rFonts w:ascii="Arial" w:eastAsia="Times New Roman" w:hAnsi="Arial"/>
                <w:spacing w:val="-7"/>
                <w:sz w:val="16"/>
                <w:szCs w:val="16"/>
              </w:rPr>
              <w:t>организаций</w:t>
            </w:r>
            <w:r>
              <w:rPr>
                <w:rFonts w:ascii="Arial" w:eastAsia="Times New Roman" w:hAnsi="Arial" w:cs="Arial"/>
                <w:spacing w:val="-7"/>
                <w:sz w:val="16"/>
                <w:szCs w:val="16"/>
              </w:rPr>
              <w:t>,</w:t>
            </w:r>
            <w:r>
              <w:rPr>
                <w:rFonts w:ascii="Arial" w:eastAsia="Times New Roman" w:hAnsi="Arial" w:cs="Arial"/>
                <w:spacing w:val="-7"/>
                <w:sz w:val="18"/>
                <w:szCs w:val="18"/>
              </w:rPr>
              <w:t xml:space="preserve">      </w:t>
            </w:r>
            <w:r>
              <w:rPr>
                <w:rFonts w:ascii="Arial" w:eastAsia="Times New Roman" w:hAnsi="Arial"/>
                <w:spacing w:val="-7"/>
                <w:sz w:val="16"/>
                <w:szCs w:val="16"/>
              </w:rPr>
              <w:t>государственных</w:t>
            </w:r>
            <w:r>
              <w:rPr>
                <w:rFonts w:ascii="Arial" w:eastAsia="Times New Roman" w:hAnsi="Arial" w:cs="Arial"/>
                <w:spacing w:val="-7"/>
                <w:sz w:val="18"/>
                <w:szCs w:val="18"/>
              </w:rPr>
              <w:t xml:space="preserve">     </w:t>
            </w:r>
            <w:r>
              <w:rPr>
                <w:rFonts w:ascii="Arial" w:eastAsia="Times New Roman" w:hAnsi="Arial" w:cs="Arial"/>
                <w:spacing w:val="-7"/>
                <w:sz w:val="16"/>
                <w:szCs w:val="16"/>
              </w:rPr>
              <w:t>(</w:t>
            </w:r>
            <w:r>
              <w:rPr>
                <w:rFonts w:ascii="Arial" w:eastAsia="Times New Roman" w:hAnsi="Arial"/>
                <w:spacing w:val="-7"/>
                <w:sz w:val="16"/>
                <w:szCs w:val="16"/>
              </w:rPr>
              <w:t>муниципальных</w:t>
            </w:r>
            <w:r>
              <w:rPr>
                <w:rFonts w:ascii="Arial" w:eastAsia="Times New Roman" w:hAnsi="Arial" w:cs="Arial"/>
                <w:spacing w:val="-7"/>
                <w:sz w:val="16"/>
                <w:szCs w:val="16"/>
              </w:rPr>
              <w:t>)</w:t>
            </w:r>
            <w:r>
              <w:rPr>
                <w:rFonts w:ascii="Arial" w:eastAsia="Times New Roman" w:hAnsi="Arial" w:cs="Arial"/>
                <w:spacing w:val="-7"/>
                <w:sz w:val="18"/>
                <w:szCs w:val="18"/>
              </w:rPr>
              <w:t xml:space="preserve">      </w:t>
            </w:r>
            <w:r>
              <w:rPr>
                <w:rFonts w:ascii="Arial" w:eastAsia="Times New Roman" w:hAnsi="Arial"/>
                <w:spacing w:val="-7"/>
                <w:sz w:val="16"/>
                <w:szCs w:val="16"/>
              </w:rPr>
              <w:t>учреждений</w:t>
            </w:r>
            <w:r>
              <w:rPr>
                <w:rFonts w:ascii="Arial" w:eastAsia="Times New Roman" w:hAnsi="Arial" w:cs="Arial"/>
                <w:spacing w:val="-7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/>
                <w:spacing w:val="-7"/>
                <w:sz w:val="16"/>
                <w:szCs w:val="16"/>
              </w:rPr>
              <w:t>некредитных</w:t>
            </w:r>
            <w:r>
              <w:rPr>
                <w:rFonts w:ascii="Arial" w:eastAsia="Times New Roman" w:hAnsi="Arial" w:cs="Arial"/>
                <w:spacing w:val="-7"/>
                <w:sz w:val="16"/>
                <w:szCs w:val="16"/>
              </w:rPr>
              <w:t xml:space="preserve">   </w:t>
            </w:r>
            <w:r>
              <w:rPr>
                <w:rFonts w:ascii="Arial" w:eastAsia="Times New Roman" w:hAnsi="Arial"/>
                <w:spacing w:val="-7"/>
                <w:sz w:val="16"/>
                <w:szCs w:val="16"/>
              </w:rPr>
              <w:t>финансовых</w:t>
            </w:r>
            <w:r>
              <w:rPr>
                <w:rFonts w:ascii="Arial" w:eastAsia="Times New Roman" w:hAnsi="Arial" w:cs="Arial"/>
                <w:spacing w:val="-7"/>
                <w:sz w:val="16"/>
                <w:szCs w:val="16"/>
              </w:rPr>
              <w:t xml:space="preserve">   </w:t>
            </w:r>
            <w:r>
              <w:rPr>
                <w:rFonts w:ascii="Arial" w:eastAsia="Times New Roman" w:hAnsi="Arial"/>
                <w:spacing w:val="-7"/>
                <w:sz w:val="16"/>
                <w:szCs w:val="16"/>
              </w:rPr>
              <w:t>организаций</w:t>
            </w:r>
            <w:r>
              <w:rPr>
                <w:rFonts w:ascii="Arial" w:eastAsia="Times New Roman" w:hAnsi="Arial" w:cs="Arial"/>
                <w:spacing w:val="-7"/>
                <w:sz w:val="16"/>
                <w:szCs w:val="16"/>
              </w:rPr>
              <w:t xml:space="preserve">   </w:t>
            </w:r>
            <w:r>
              <w:rPr>
                <w:rFonts w:ascii="Arial" w:eastAsia="Times New Roman" w:hAnsi="Arial"/>
                <w:spacing w:val="-7"/>
                <w:sz w:val="16"/>
                <w:szCs w:val="16"/>
              </w:rPr>
              <w:t>и</w:t>
            </w:r>
            <w:r>
              <w:rPr>
                <w:rFonts w:ascii="Arial" w:eastAsia="Times New Roman" w:hAnsi="Arial" w:cs="Arial"/>
                <w:spacing w:val="-7"/>
                <w:sz w:val="16"/>
                <w:szCs w:val="16"/>
              </w:rPr>
              <w:t xml:space="preserve">   </w:t>
            </w:r>
            <w:r>
              <w:rPr>
                <w:rFonts w:ascii="Arial" w:eastAsia="Times New Roman" w:hAnsi="Arial"/>
                <w:spacing w:val="-7"/>
                <w:sz w:val="16"/>
                <w:szCs w:val="16"/>
              </w:rPr>
              <w:t>организаций</w:t>
            </w:r>
            <w:r>
              <w:rPr>
                <w:rFonts w:ascii="Arial" w:eastAsia="Times New Roman" w:hAnsi="Arial" w:cs="Arial"/>
                <w:spacing w:val="-7"/>
                <w:sz w:val="16"/>
                <w:szCs w:val="16"/>
              </w:rPr>
              <w:t xml:space="preserve">   </w:t>
            </w:r>
            <w:r>
              <w:rPr>
                <w:rFonts w:ascii="Arial" w:eastAsia="Times New Roman" w:hAnsi="Arial"/>
                <w:spacing w:val="-7"/>
                <w:sz w:val="16"/>
                <w:szCs w:val="16"/>
              </w:rPr>
              <w:t>со</w:t>
            </w:r>
            <w:r>
              <w:rPr>
                <w:rFonts w:ascii="Arial" w:eastAsia="Times New Roman" w:hAnsi="Arial" w:cs="Arial"/>
                <w:spacing w:val="-7"/>
                <w:sz w:val="16"/>
                <w:szCs w:val="16"/>
              </w:rPr>
              <w:t xml:space="preserve">   </w:t>
            </w:r>
            <w:r>
              <w:rPr>
                <w:rFonts w:ascii="Arial" w:eastAsia="Times New Roman" w:hAnsi="Arial"/>
                <w:spacing w:val="-7"/>
                <w:sz w:val="16"/>
                <w:szCs w:val="16"/>
              </w:rPr>
              <w:t>средней</w:t>
            </w:r>
            <w:r>
              <w:rPr>
                <w:rFonts w:ascii="Arial" w:eastAsia="Times New Roman" w:hAnsi="Arial" w:cs="Arial"/>
                <w:spacing w:val="-7"/>
                <w:sz w:val="16"/>
                <w:szCs w:val="16"/>
              </w:rPr>
              <w:t xml:space="preserve">   </w:t>
            </w:r>
            <w:r>
              <w:rPr>
                <w:rFonts w:ascii="Arial" w:eastAsia="Times New Roman" w:hAnsi="Arial"/>
                <w:spacing w:val="-7"/>
                <w:sz w:val="16"/>
                <w:szCs w:val="16"/>
              </w:rPr>
              <w:t>численностью</w:t>
            </w:r>
            <w:r>
              <w:rPr>
                <w:rFonts w:ascii="Arial" w:eastAsia="Times New Roman" w:hAnsi="Arial" w:cs="Arial"/>
                <w:spacing w:val="-7"/>
                <w:sz w:val="16"/>
                <w:szCs w:val="16"/>
              </w:rPr>
              <w:t xml:space="preserve">   </w:t>
            </w:r>
            <w:r>
              <w:rPr>
                <w:rFonts w:ascii="Arial" w:eastAsia="Times New Roman" w:hAnsi="Arial"/>
                <w:spacing w:val="-7"/>
                <w:sz w:val="16"/>
                <w:szCs w:val="16"/>
              </w:rPr>
              <w:t>работников</w:t>
            </w:r>
            <w:r>
              <w:rPr>
                <w:rFonts w:ascii="Arial" w:eastAsia="Times New Roman" w:hAnsi="Arial" w:cs="Arial"/>
                <w:spacing w:val="-7"/>
                <w:sz w:val="16"/>
                <w:szCs w:val="16"/>
              </w:rPr>
              <w:t xml:space="preserve">    </w:t>
            </w:r>
            <w:r>
              <w:rPr>
                <w:rFonts w:ascii="Arial" w:eastAsia="Times New Roman" w:hAnsi="Arial"/>
                <w:spacing w:val="-7"/>
                <w:sz w:val="16"/>
                <w:szCs w:val="16"/>
              </w:rPr>
              <w:t>до</w:t>
            </w:r>
            <w:r>
              <w:rPr>
                <w:rFonts w:ascii="Arial" w:eastAsia="Times New Roman" w:hAnsi="Arial" w:cs="Arial"/>
                <w:spacing w:val="-7"/>
                <w:sz w:val="16"/>
                <w:szCs w:val="16"/>
              </w:rPr>
              <w:t xml:space="preserve">   15   </w:t>
            </w:r>
            <w:r>
              <w:rPr>
                <w:rFonts w:ascii="Arial" w:eastAsia="Times New Roman" w:hAnsi="Arial"/>
                <w:spacing w:val="-7"/>
                <w:sz w:val="16"/>
                <w:szCs w:val="16"/>
              </w:rPr>
              <w:t>человек</w:t>
            </w:r>
            <w:r>
              <w:rPr>
                <w:rFonts w:ascii="Arial" w:eastAsia="Times New Roman" w:hAnsi="Arial" w:cs="Arial"/>
                <w:spacing w:val="-7"/>
                <w:sz w:val="16"/>
                <w:szCs w:val="16"/>
              </w:rPr>
              <w:t xml:space="preserve">,   </w:t>
            </w:r>
            <w:r>
              <w:rPr>
                <w:rFonts w:ascii="Arial" w:eastAsia="Times New Roman" w:hAnsi="Arial"/>
                <w:spacing w:val="-7"/>
                <w:sz w:val="16"/>
                <w:szCs w:val="16"/>
              </w:rPr>
              <w:t>не</w:t>
            </w:r>
            <w:r>
              <w:rPr>
                <w:rFonts w:ascii="Arial" w:eastAsia="Times New Roman" w:hAnsi="Arial" w:cs="Arial"/>
                <w:spacing w:val="-7"/>
                <w:sz w:val="16"/>
                <w:szCs w:val="16"/>
              </w:rPr>
              <w:t xml:space="preserve">   </w:t>
            </w:r>
            <w:r>
              <w:rPr>
                <w:rFonts w:ascii="Arial" w:eastAsia="Times New Roman" w:hAnsi="Arial"/>
                <w:spacing w:val="-7"/>
                <w:sz w:val="16"/>
                <w:szCs w:val="16"/>
              </w:rPr>
              <w:t xml:space="preserve">являющихся </w:t>
            </w:r>
            <w:r>
              <w:rPr>
                <w:rFonts w:ascii="Arial" w:eastAsia="Times New Roman" w:hAnsi="Arial"/>
                <w:sz w:val="16"/>
                <w:szCs w:val="16"/>
              </w:rPr>
              <w:t>субъектами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малого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предпринимательства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  <w:p w:rsidR="00CA26EB" w:rsidRDefault="00CA26EB" w:rsidP="00CA26EB">
            <w:r w:rsidRPr="00CA26EB">
              <w:rPr>
                <w:rFonts w:ascii="Arial" w:hAnsi="Arial" w:cs="Arial"/>
                <w:spacing w:val="-8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16"/>
                <w:szCs w:val="16"/>
              </w:rPr>
              <w:t>Темп</w:t>
            </w:r>
            <w:r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  </w:t>
            </w:r>
            <w:r>
              <w:rPr>
                <w:rFonts w:ascii="Arial" w:eastAsia="Times New Roman" w:hAnsi="Arial"/>
                <w:spacing w:val="-6"/>
                <w:sz w:val="16"/>
                <w:szCs w:val="16"/>
              </w:rPr>
              <w:t>роста</w:t>
            </w:r>
            <w:r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  </w:t>
            </w:r>
            <w:r>
              <w:rPr>
                <w:rFonts w:ascii="Arial" w:eastAsia="Times New Roman" w:hAnsi="Arial" w:cs="Arial"/>
                <w:spacing w:val="-6"/>
                <w:sz w:val="16"/>
                <w:szCs w:val="16"/>
              </w:rPr>
              <w:t>(</w:t>
            </w:r>
            <w:r>
              <w:rPr>
                <w:rFonts w:ascii="Arial" w:eastAsia="Times New Roman" w:hAnsi="Arial"/>
                <w:spacing w:val="-6"/>
                <w:sz w:val="16"/>
                <w:szCs w:val="16"/>
              </w:rPr>
              <w:t>снижения</w:t>
            </w:r>
            <w:r>
              <w:rPr>
                <w:rFonts w:ascii="Arial" w:eastAsia="Times New Roman" w:hAnsi="Arial" w:cs="Arial"/>
                <w:spacing w:val="-6"/>
                <w:sz w:val="16"/>
                <w:szCs w:val="16"/>
              </w:rPr>
              <w:t>)</w:t>
            </w:r>
            <w:r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  </w:t>
            </w:r>
            <w:r>
              <w:rPr>
                <w:rFonts w:ascii="Arial" w:eastAsia="Times New Roman" w:hAnsi="Arial"/>
                <w:spacing w:val="-6"/>
                <w:sz w:val="16"/>
                <w:szCs w:val="16"/>
              </w:rPr>
              <w:t>рассчитан</w:t>
            </w:r>
            <w:r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  </w:t>
            </w:r>
            <w:r>
              <w:rPr>
                <w:rFonts w:ascii="Arial" w:eastAsia="Times New Roman" w:hAnsi="Arial"/>
                <w:spacing w:val="-6"/>
                <w:sz w:val="16"/>
                <w:szCs w:val="16"/>
              </w:rPr>
              <w:t>по</w:t>
            </w:r>
            <w:r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  </w:t>
            </w:r>
            <w:r>
              <w:rPr>
                <w:rFonts w:ascii="Arial" w:eastAsia="Times New Roman" w:hAnsi="Arial"/>
                <w:spacing w:val="-6"/>
                <w:sz w:val="16"/>
                <w:szCs w:val="16"/>
              </w:rPr>
              <w:t>сопоставимому</w:t>
            </w:r>
            <w:r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  </w:t>
            </w:r>
            <w:r>
              <w:rPr>
                <w:rFonts w:ascii="Arial" w:eastAsia="Times New Roman" w:hAnsi="Arial"/>
                <w:spacing w:val="-6"/>
                <w:sz w:val="16"/>
                <w:szCs w:val="16"/>
              </w:rPr>
              <w:t>кругу</w:t>
            </w:r>
            <w:r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  </w:t>
            </w:r>
            <w:r>
              <w:rPr>
                <w:rFonts w:ascii="Arial" w:eastAsia="Times New Roman" w:hAnsi="Arial"/>
                <w:spacing w:val="-6"/>
                <w:sz w:val="16"/>
                <w:szCs w:val="16"/>
              </w:rPr>
              <w:t>организаций</w:t>
            </w:r>
            <w:r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  </w:t>
            </w:r>
            <w:r>
              <w:rPr>
                <w:rFonts w:ascii="Arial" w:eastAsia="Times New Roman" w:hAnsi="Arial"/>
                <w:spacing w:val="-6"/>
                <w:sz w:val="16"/>
                <w:szCs w:val="16"/>
              </w:rPr>
              <w:t>в</w:t>
            </w:r>
            <w:r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  </w:t>
            </w:r>
            <w:r>
              <w:rPr>
                <w:rFonts w:ascii="Arial" w:eastAsia="Times New Roman" w:hAnsi="Arial"/>
                <w:spacing w:val="-6"/>
                <w:sz w:val="16"/>
                <w:szCs w:val="16"/>
              </w:rPr>
              <w:t>соответствии</w:t>
            </w:r>
            <w:r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  </w:t>
            </w:r>
            <w:r>
              <w:rPr>
                <w:rFonts w:ascii="Arial" w:eastAsia="Times New Roman" w:hAnsi="Arial"/>
                <w:spacing w:val="-6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  </w:t>
            </w:r>
            <w:r>
              <w:rPr>
                <w:rFonts w:ascii="Arial" w:eastAsia="Times New Roman" w:hAnsi="Arial"/>
                <w:spacing w:val="-6"/>
                <w:sz w:val="16"/>
                <w:szCs w:val="16"/>
              </w:rPr>
              <w:t>методикой</w:t>
            </w:r>
            <w:r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  </w:t>
            </w:r>
            <w:r>
              <w:rPr>
                <w:rFonts w:ascii="Arial" w:eastAsia="Times New Roman" w:hAnsi="Arial"/>
                <w:spacing w:val="-6"/>
                <w:sz w:val="16"/>
                <w:szCs w:val="16"/>
              </w:rPr>
              <w:t>бухгалтерского</w:t>
            </w:r>
            <w:r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  </w:t>
            </w:r>
            <w:r>
              <w:rPr>
                <w:rFonts w:ascii="Arial" w:eastAsia="Times New Roman" w:hAnsi="Arial"/>
                <w:spacing w:val="-6"/>
                <w:sz w:val="16"/>
                <w:szCs w:val="16"/>
              </w:rPr>
              <w:t>учета</w:t>
            </w:r>
            <w:r>
              <w:rPr>
                <w:rFonts w:ascii="Arial" w:eastAsia="Times New Roman" w:hAnsi="Arial" w:cs="Arial"/>
                <w:spacing w:val="-6"/>
                <w:sz w:val="16"/>
                <w:szCs w:val="16"/>
              </w:rPr>
              <w:t xml:space="preserve">; </w:t>
            </w:r>
            <w:r>
              <w:rPr>
                <w:rFonts w:ascii="Arial" w:eastAsia="Times New Roman" w:hAnsi="Arial"/>
                <w:spacing w:val="-13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pacing w:val="-13"/>
                <w:sz w:val="16"/>
                <w:szCs w:val="16"/>
              </w:rPr>
              <w:t xml:space="preserve">       </w:t>
            </w:r>
            <w:r>
              <w:rPr>
                <w:rFonts w:ascii="Arial" w:eastAsia="Times New Roman" w:hAnsi="Arial"/>
                <w:spacing w:val="-13"/>
                <w:sz w:val="16"/>
                <w:szCs w:val="16"/>
              </w:rPr>
              <w:t>учетом</w:t>
            </w:r>
            <w:r>
              <w:rPr>
                <w:rFonts w:ascii="Arial" w:eastAsia="Times New Roman" w:hAnsi="Arial" w:cs="Arial"/>
                <w:spacing w:val="-13"/>
                <w:sz w:val="16"/>
                <w:szCs w:val="16"/>
              </w:rPr>
              <w:t xml:space="preserve">      </w:t>
            </w:r>
            <w:r>
              <w:rPr>
                <w:rFonts w:ascii="Arial" w:eastAsia="Times New Roman" w:hAnsi="Arial"/>
                <w:spacing w:val="-13"/>
                <w:sz w:val="16"/>
                <w:szCs w:val="16"/>
              </w:rPr>
              <w:t>корректировки</w:t>
            </w:r>
            <w:r>
              <w:rPr>
                <w:rFonts w:ascii="Arial" w:eastAsia="Times New Roman" w:hAnsi="Arial" w:cs="Arial"/>
                <w:spacing w:val="-13"/>
                <w:sz w:val="16"/>
                <w:szCs w:val="16"/>
              </w:rPr>
              <w:t xml:space="preserve">      </w:t>
            </w:r>
            <w:r>
              <w:rPr>
                <w:rFonts w:ascii="Arial" w:eastAsia="Times New Roman" w:hAnsi="Arial"/>
                <w:spacing w:val="-13"/>
                <w:sz w:val="16"/>
                <w:szCs w:val="16"/>
              </w:rPr>
              <w:t>данных</w:t>
            </w:r>
            <w:r>
              <w:rPr>
                <w:rFonts w:ascii="Arial" w:eastAsia="Times New Roman" w:hAnsi="Arial" w:cs="Arial"/>
                <w:spacing w:val="-13"/>
                <w:sz w:val="16"/>
                <w:szCs w:val="16"/>
              </w:rPr>
              <w:t xml:space="preserve">      </w:t>
            </w:r>
            <w:r>
              <w:rPr>
                <w:rFonts w:ascii="Arial" w:eastAsia="Times New Roman" w:hAnsi="Arial"/>
                <w:spacing w:val="-13"/>
                <w:sz w:val="16"/>
                <w:szCs w:val="16"/>
              </w:rPr>
              <w:t>соответствующего</w:t>
            </w:r>
            <w:r>
              <w:rPr>
                <w:rFonts w:ascii="Arial" w:eastAsia="Times New Roman" w:hAnsi="Arial" w:cs="Arial"/>
                <w:spacing w:val="-13"/>
                <w:sz w:val="16"/>
                <w:szCs w:val="16"/>
              </w:rPr>
              <w:t xml:space="preserve">      </w:t>
            </w:r>
            <w:r>
              <w:rPr>
                <w:rFonts w:ascii="Arial" w:eastAsia="Times New Roman" w:hAnsi="Arial"/>
                <w:spacing w:val="-13"/>
                <w:sz w:val="16"/>
                <w:szCs w:val="16"/>
              </w:rPr>
              <w:t>периода</w:t>
            </w:r>
            <w:r>
              <w:rPr>
                <w:rFonts w:ascii="Arial" w:eastAsia="Times New Roman" w:hAnsi="Arial" w:cs="Arial"/>
                <w:spacing w:val="-13"/>
                <w:sz w:val="16"/>
                <w:szCs w:val="16"/>
              </w:rPr>
              <w:t xml:space="preserve">      </w:t>
            </w:r>
            <w:r>
              <w:rPr>
                <w:rFonts w:ascii="Arial" w:eastAsia="Times New Roman" w:hAnsi="Arial"/>
                <w:spacing w:val="-13"/>
                <w:sz w:val="16"/>
                <w:szCs w:val="16"/>
              </w:rPr>
              <w:t>предыдущего</w:t>
            </w:r>
            <w:r>
              <w:rPr>
                <w:rFonts w:ascii="Arial" w:eastAsia="Times New Roman" w:hAnsi="Arial" w:cs="Arial"/>
                <w:spacing w:val="-13"/>
                <w:sz w:val="16"/>
                <w:szCs w:val="16"/>
              </w:rPr>
              <w:t xml:space="preserve">      </w:t>
            </w:r>
            <w:r>
              <w:rPr>
                <w:rFonts w:ascii="Arial" w:eastAsia="Times New Roman" w:hAnsi="Arial"/>
                <w:spacing w:val="-13"/>
                <w:sz w:val="16"/>
                <w:szCs w:val="16"/>
              </w:rPr>
              <w:t>года</w:t>
            </w:r>
            <w:r>
              <w:rPr>
                <w:rFonts w:ascii="Arial" w:eastAsia="Times New Roman" w:hAnsi="Arial" w:cs="Arial"/>
                <w:spacing w:val="-13"/>
                <w:sz w:val="16"/>
                <w:szCs w:val="16"/>
              </w:rPr>
              <w:t xml:space="preserve">,      </w:t>
            </w:r>
            <w:r>
              <w:rPr>
                <w:rFonts w:ascii="Arial" w:eastAsia="Times New Roman" w:hAnsi="Arial"/>
                <w:spacing w:val="-13"/>
                <w:sz w:val="16"/>
                <w:szCs w:val="16"/>
              </w:rPr>
              <w:t>исходя</w:t>
            </w:r>
            <w:r>
              <w:rPr>
                <w:rFonts w:ascii="Arial" w:eastAsia="Times New Roman" w:hAnsi="Arial" w:cs="Arial"/>
                <w:spacing w:val="-13"/>
                <w:sz w:val="16"/>
                <w:szCs w:val="16"/>
              </w:rPr>
              <w:t xml:space="preserve">      </w:t>
            </w:r>
            <w:r>
              <w:rPr>
                <w:rFonts w:ascii="Arial" w:eastAsia="Times New Roman" w:hAnsi="Arial"/>
                <w:spacing w:val="-13"/>
                <w:sz w:val="16"/>
                <w:szCs w:val="16"/>
              </w:rPr>
              <w:t>из</w:t>
            </w:r>
            <w:r>
              <w:rPr>
                <w:rFonts w:ascii="Arial" w:eastAsia="Times New Roman" w:hAnsi="Arial" w:cs="Arial"/>
                <w:spacing w:val="-13"/>
                <w:sz w:val="16"/>
                <w:szCs w:val="16"/>
              </w:rPr>
              <w:t xml:space="preserve">      </w:t>
            </w:r>
            <w:r>
              <w:rPr>
                <w:rFonts w:ascii="Arial" w:eastAsia="Times New Roman" w:hAnsi="Arial"/>
                <w:spacing w:val="-13"/>
                <w:sz w:val="16"/>
                <w:szCs w:val="16"/>
              </w:rPr>
              <w:t>изменений</w:t>
            </w:r>
            <w:r>
              <w:rPr>
                <w:rFonts w:ascii="Arial" w:eastAsia="Times New Roman" w:hAnsi="Arial" w:cs="Arial"/>
                <w:spacing w:val="-13"/>
                <w:sz w:val="16"/>
                <w:szCs w:val="16"/>
              </w:rPr>
              <w:t xml:space="preserve">      </w:t>
            </w:r>
            <w:r>
              <w:rPr>
                <w:rFonts w:ascii="Arial" w:eastAsia="Times New Roman" w:hAnsi="Arial"/>
                <w:spacing w:val="-13"/>
                <w:sz w:val="16"/>
                <w:szCs w:val="16"/>
              </w:rPr>
              <w:t>учетной</w:t>
            </w:r>
            <w:r>
              <w:rPr>
                <w:rFonts w:ascii="Arial" w:eastAsia="Times New Roman" w:hAnsi="Arial" w:cs="Arial"/>
                <w:spacing w:val="-13"/>
                <w:sz w:val="16"/>
                <w:szCs w:val="16"/>
              </w:rPr>
              <w:t xml:space="preserve">      </w:t>
            </w:r>
            <w:r>
              <w:rPr>
                <w:rFonts w:ascii="Arial" w:eastAsia="Times New Roman" w:hAnsi="Arial"/>
                <w:spacing w:val="-13"/>
                <w:sz w:val="16"/>
                <w:szCs w:val="16"/>
              </w:rPr>
              <w:t>политики</w:t>
            </w:r>
            <w:r>
              <w:rPr>
                <w:rFonts w:ascii="Arial" w:eastAsia="Times New Roman" w:hAnsi="Arial" w:cs="Arial"/>
                <w:spacing w:val="-13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/>
                <w:sz w:val="16"/>
                <w:szCs w:val="16"/>
              </w:rPr>
              <w:t>законодательных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актов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др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  <w:p w:rsidR="00CA26EB" w:rsidRPr="00240223" w:rsidRDefault="00CA26EB" w:rsidP="003B01EF">
            <w:pPr>
              <w:tabs>
                <w:tab w:val="left" w:pos="885"/>
                <w:tab w:val="left" w:pos="1520"/>
              </w:tabs>
              <w:ind w:right="741"/>
              <w:jc w:val="right"/>
            </w:pPr>
          </w:p>
        </w:tc>
      </w:tr>
    </w:tbl>
    <w:p w:rsidR="00DD327A" w:rsidRPr="003778E1" w:rsidRDefault="00DD327A" w:rsidP="00DD327A">
      <w:pPr>
        <w:pStyle w:val="a3"/>
        <w:spacing w:line="20" w:lineRule="exact"/>
        <w:rPr>
          <w:rFonts w:ascii="Times New Roman" w:hAnsi="Times New Roman"/>
        </w:rPr>
      </w:pPr>
    </w:p>
    <w:p w:rsidR="00DD327A" w:rsidRPr="003778E1" w:rsidRDefault="00DD327A" w:rsidP="00DD327A">
      <w:pPr>
        <w:spacing w:line="20" w:lineRule="exact"/>
        <w:jc w:val="center"/>
        <w:rPr>
          <w:bCs/>
          <w:i/>
          <w:iCs/>
        </w:rPr>
        <w:sectPr w:rsidR="00DD327A" w:rsidRPr="003778E1" w:rsidSect="003778E1">
          <w:footnotePr>
            <w:pos w:val="beneathText"/>
            <w:numRestart w:val="eachSect"/>
          </w:footnotePr>
          <w:pgSz w:w="11906" w:h="16838"/>
          <w:pgMar w:top="1134" w:right="1134" w:bottom="1134" w:left="1134" w:header="709" w:footer="709" w:gutter="0"/>
          <w:cols w:space="720"/>
          <w:titlePg/>
          <w:docGrid w:linePitch="360"/>
        </w:sectPr>
      </w:pPr>
    </w:p>
    <w:p w:rsidR="00DD327A" w:rsidRDefault="00DD327A">
      <w:pPr>
        <w:shd w:val="clear" w:color="auto" w:fill="FFFFFF"/>
        <w:spacing w:before="374"/>
        <w:ind w:right="10"/>
        <w:jc w:val="center"/>
        <w:rPr>
          <w:rFonts w:eastAsia="Times New Roman"/>
          <w:i/>
          <w:iCs/>
          <w:spacing w:val="-1"/>
          <w:sz w:val="28"/>
          <w:szCs w:val="28"/>
        </w:rPr>
      </w:pPr>
    </w:p>
    <w:p w:rsidR="00770B3A" w:rsidRDefault="00452887">
      <w:pPr>
        <w:shd w:val="clear" w:color="auto" w:fill="FFFFFF"/>
        <w:tabs>
          <w:tab w:val="left" w:pos="120"/>
        </w:tabs>
        <w:spacing w:before="298" w:line="235" w:lineRule="exact"/>
        <w:ind w:right="10"/>
        <w:jc w:val="both"/>
      </w:pPr>
      <w:r>
        <w:rPr>
          <w:vertAlign w:val="superscript"/>
        </w:rPr>
        <w:t>1</w:t>
      </w:r>
      <w:r>
        <w:tab/>
      </w:r>
      <w:r>
        <w:rPr>
          <w:rFonts w:eastAsia="Times New Roman"/>
        </w:rPr>
        <w:t>Без субъектов малого предпринимательства, кредитных организаций, государственных (муниципальных)</w:t>
      </w:r>
      <w:r>
        <w:rPr>
          <w:rFonts w:eastAsia="Times New Roman"/>
        </w:rPr>
        <w:br/>
        <w:t>учреждений, некредитных финансовых организаций и организаций со средней численностью работников</w:t>
      </w:r>
      <w:r>
        <w:rPr>
          <w:rFonts w:eastAsia="Times New Roman"/>
        </w:rPr>
        <w:br/>
        <w:t>до 15 человек, не являющихся субъектами малого предпринимательства.</w:t>
      </w:r>
    </w:p>
    <w:p w:rsidR="00770B3A" w:rsidRDefault="00452887">
      <w:pPr>
        <w:shd w:val="clear" w:color="auto" w:fill="FFFFFF"/>
        <w:tabs>
          <w:tab w:val="left" w:pos="120"/>
        </w:tabs>
        <w:spacing w:line="235" w:lineRule="exact"/>
        <w:ind w:right="10"/>
        <w:jc w:val="both"/>
      </w:pPr>
      <w:r>
        <w:rPr>
          <w:vertAlign w:val="superscript"/>
        </w:rPr>
        <w:t>2</w:t>
      </w:r>
      <w:r>
        <w:tab/>
      </w:r>
      <w:r>
        <w:rPr>
          <w:rFonts w:eastAsia="Times New Roman"/>
        </w:rPr>
        <w:t>Темп роста (снижения) рассчитан по сопоставимому кругу организаций в соответствии с методикой</w:t>
      </w:r>
      <w:r>
        <w:rPr>
          <w:rFonts w:eastAsia="Times New Roman"/>
        </w:rPr>
        <w:br/>
        <w:t>бухгалтерского учета; с учетом корректировки данных соответствующего периода предыдущего года, исходя</w:t>
      </w:r>
      <w:r>
        <w:rPr>
          <w:rFonts w:eastAsia="Times New Roman"/>
        </w:rPr>
        <w:br/>
        <w:t>из изменений учетной политики, законодательных актов и др.</w:t>
      </w:r>
    </w:p>
    <w:p w:rsidR="00770B3A" w:rsidRDefault="00452887">
      <w:pPr>
        <w:shd w:val="clear" w:color="auto" w:fill="FFFFFF"/>
        <w:tabs>
          <w:tab w:val="left" w:pos="120"/>
        </w:tabs>
        <w:spacing w:line="235" w:lineRule="exact"/>
        <w:ind w:right="14"/>
        <w:jc w:val="both"/>
      </w:pPr>
      <w:r>
        <w:rPr>
          <w:vertAlign w:val="superscript"/>
        </w:rPr>
        <w:t>3</w:t>
      </w:r>
      <w:r>
        <w:tab/>
      </w:r>
      <w:r>
        <w:rPr>
          <w:rFonts w:eastAsia="Times New Roman"/>
        </w:rPr>
        <w:t>Прочерк означает, что в одном или обоих сопоставляемых периодах был получен отрицательный</w:t>
      </w:r>
      <w:r>
        <w:rPr>
          <w:rFonts w:eastAsia="Times New Roman"/>
        </w:rPr>
        <w:br/>
        <w:t>сальдированный финансовый результат.</w:t>
      </w:r>
    </w:p>
    <w:p w:rsidR="00DD327A" w:rsidRDefault="00DD327A">
      <w:pPr>
        <w:shd w:val="clear" w:color="auto" w:fill="FFFFFF"/>
        <w:tabs>
          <w:tab w:val="left" w:pos="120"/>
        </w:tabs>
        <w:spacing w:line="235" w:lineRule="exact"/>
        <w:ind w:right="14"/>
        <w:jc w:val="both"/>
      </w:pPr>
    </w:p>
    <w:sectPr w:rsidR="00DD327A">
      <w:pgSz w:w="11909" w:h="16834"/>
      <w:pgMar w:top="926" w:right="1128" w:bottom="360" w:left="113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27A" w:rsidRDefault="00DD327A" w:rsidP="00DD327A">
      <w:r>
        <w:separator/>
      </w:r>
    </w:p>
  </w:endnote>
  <w:endnote w:type="continuationSeparator" w:id="0">
    <w:p w:rsidR="00DD327A" w:rsidRDefault="00DD327A" w:rsidP="00DD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27A" w:rsidRDefault="00DD327A" w:rsidP="00DD327A">
      <w:r>
        <w:separator/>
      </w:r>
    </w:p>
  </w:footnote>
  <w:footnote w:type="continuationSeparator" w:id="0">
    <w:p w:rsidR="00DD327A" w:rsidRDefault="00DD327A" w:rsidP="00DD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pos w:val="beneathText"/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87"/>
    <w:rsid w:val="00452887"/>
    <w:rsid w:val="00770B3A"/>
    <w:rsid w:val="008C1823"/>
    <w:rsid w:val="00CA26EB"/>
    <w:rsid w:val="00DD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D743F3-7C42-497F-9C0D-DB7993E4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D327A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bCs/>
      <w:i/>
      <w:iCs/>
      <w:sz w:val="32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327A"/>
    <w:rPr>
      <w:rFonts w:ascii="Times New Roman" w:eastAsia="Times New Roman" w:hAnsi="Times New Roman" w:cs="Times New Roman"/>
      <w:b/>
      <w:bCs/>
      <w:i/>
      <w:iCs/>
      <w:sz w:val="32"/>
      <w:szCs w:val="24"/>
      <w:lang w:val="x-none" w:eastAsia="x-none"/>
    </w:rPr>
  </w:style>
  <w:style w:type="paragraph" w:styleId="a3">
    <w:name w:val="footnote text"/>
    <w:basedOn w:val="a"/>
    <w:link w:val="a4"/>
    <w:uiPriority w:val="99"/>
    <w:unhideWhenUsed/>
    <w:rsid w:val="00DD327A"/>
    <w:pPr>
      <w:widowControl/>
      <w:autoSpaceDE/>
      <w:autoSpaceDN/>
      <w:adjustRightInd/>
    </w:pPr>
    <w:rPr>
      <w:rFonts w:ascii="Calibri" w:eastAsia="Calibri" w:hAnsi="Calibri"/>
      <w:lang w:val="x-none" w:eastAsia="en-US"/>
    </w:rPr>
  </w:style>
  <w:style w:type="character" w:customStyle="1" w:styleId="a4">
    <w:name w:val="Текст сноски Знак"/>
    <w:basedOn w:val="a0"/>
    <w:link w:val="a3"/>
    <w:uiPriority w:val="99"/>
    <w:rsid w:val="00DD327A"/>
    <w:rPr>
      <w:rFonts w:ascii="Calibri" w:eastAsia="Calibri" w:hAnsi="Calibri" w:cs="Times New Roman"/>
      <w:sz w:val="20"/>
      <w:szCs w:val="20"/>
      <w:lang w:val="x-none" w:eastAsia="en-US"/>
    </w:rPr>
  </w:style>
  <w:style w:type="character" w:styleId="a5">
    <w:name w:val="footnote reference"/>
    <w:link w:val="11"/>
    <w:uiPriority w:val="99"/>
    <w:unhideWhenUsed/>
    <w:rsid w:val="00DD327A"/>
    <w:rPr>
      <w:vertAlign w:val="superscript"/>
    </w:rPr>
  </w:style>
  <w:style w:type="paragraph" w:customStyle="1" w:styleId="11">
    <w:name w:val="Знак сноски1"/>
    <w:link w:val="a5"/>
    <w:uiPriority w:val="99"/>
    <w:rsid w:val="00DD327A"/>
    <w:pPr>
      <w:spacing w:after="0" w:line="240" w:lineRule="auto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2024-03-12T06:43:00Z</dcterms:created>
  <dcterms:modified xsi:type="dcterms:W3CDTF">2024-03-12T06:43:00Z</dcterms:modified>
</cp:coreProperties>
</file>