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90" w:rsidRPr="00F44641" w:rsidRDefault="00144690" w:rsidP="001446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641">
        <w:rPr>
          <w:rFonts w:ascii="Times New Roman" w:hAnsi="Times New Roman" w:cs="Times New Roman"/>
          <w:sz w:val="28"/>
          <w:szCs w:val="28"/>
        </w:rPr>
        <w:t>Объектами муниципального земельного контроля являются земля как природный объект и природный ресурс, земельные участки, их части, находящиеся в границах сельских поселений Чагодощенского муниципального района.</w:t>
      </w:r>
    </w:p>
    <w:p w:rsidR="00CD7EBC" w:rsidRDefault="00CD7EBC"/>
    <w:sectPr w:rsidR="00CD7EBC" w:rsidSect="00CD7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4690"/>
    <w:rsid w:val="00144690"/>
    <w:rsid w:val="008A1A3F"/>
    <w:rsid w:val="00CD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690"/>
    <w:pPr>
      <w:widowControl w:val="0"/>
      <w:autoSpaceDE w:val="0"/>
      <w:autoSpaceDN w:val="0"/>
      <w:spacing w:before="0" w:beforeAutospacing="0" w:after="0" w:afterAutospacing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2022-08-03T06:56:00Z</dcterms:created>
  <dcterms:modified xsi:type="dcterms:W3CDTF">2022-08-03T06:57:00Z</dcterms:modified>
</cp:coreProperties>
</file>