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1" w:rsidRPr="0058749C" w:rsidRDefault="007445F1" w:rsidP="007445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749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62091E">
        <w:rPr>
          <w:rFonts w:ascii="Times New Roman" w:hAnsi="Times New Roman" w:cs="Times New Roman"/>
          <w:b/>
          <w:sz w:val="28"/>
          <w:szCs w:val="28"/>
        </w:rPr>
        <w:t>№ 6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 внешней проверки бюджетной  отчетности главного администратора бюджетных средств  сельского поселения</w:t>
      </w:r>
      <w:proofErr w:type="gramEnd"/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>Белокрестское</w:t>
      </w:r>
      <w:proofErr w:type="spellEnd"/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 xml:space="preserve">   —  Администрации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202</w:t>
      </w:r>
      <w:r w:rsidR="00331B8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445F1" w:rsidRPr="0074429D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Default="007445F1" w:rsidP="00220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631">
        <w:rPr>
          <w:rFonts w:ascii="Times New Roman" w:hAnsi="Times New Roman" w:cs="Times New Roman"/>
          <w:sz w:val="28"/>
          <w:szCs w:val="28"/>
        </w:rPr>
        <w:t>1</w:t>
      </w:r>
      <w:r w:rsidR="002D0631" w:rsidRPr="002D0631">
        <w:rPr>
          <w:rFonts w:ascii="Times New Roman" w:hAnsi="Times New Roman" w:cs="Times New Roman"/>
          <w:sz w:val="28"/>
          <w:szCs w:val="28"/>
        </w:rPr>
        <w:t>3</w:t>
      </w:r>
      <w:r w:rsidRPr="002D063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D0631" w:rsidRPr="002D0631">
        <w:rPr>
          <w:rFonts w:ascii="Times New Roman" w:hAnsi="Times New Roman" w:cs="Times New Roman"/>
          <w:sz w:val="28"/>
          <w:szCs w:val="28"/>
        </w:rPr>
        <w:t xml:space="preserve">3 </w:t>
      </w:r>
      <w:r w:rsidRPr="002D0631">
        <w:rPr>
          <w:rFonts w:ascii="Times New Roman" w:hAnsi="Times New Roman" w:cs="Times New Roman"/>
          <w:sz w:val="28"/>
          <w:szCs w:val="28"/>
        </w:rPr>
        <w:t>года</w:t>
      </w:r>
      <w:r w:rsidR="002D0631" w:rsidRPr="002D06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9F2" w:rsidRPr="002D06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091E">
        <w:rPr>
          <w:rFonts w:ascii="Times New Roman" w:hAnsi="Times New Roman" w:cs="Times New Roman"/>
          <w:sz w:val="28"/>
          <w:szCs w:val="28"/>
        </w:rPr>
        <w:t xml:space="preserve">    </w:t>
      </w:r>
      <w:r w:rsidR="002209F2" w:rsidRPr="002D0631">
        <w:rPr>
          <w:rFonts w:ascii="Times New Roman" w:hAnsi="Times New Roman" w:cs="Times New Roman"/>
          <w:sz w:val="28"/>
          <w:szCs w:val="28"/>
        </w:rPr>
        <w:t xml:space="preserve">      </w:t>
      </w:r>
      <w:r w:rsidRPr="002D06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09F2" w:rsidRPr="002D0631">
        <w:rPr>
          <w:rFonts w:ascii="Times New Roman" w:hAnsi="Times New Roman" w:cs="Times New Roman"/>
          <w:sz w:val="28"/>
          <w:szCs w:val="28"/>
        </w:rPr>
        <w:t xml:space="preserve">      </w:t>
      </w:r>
      <w:r w:rsidRPr="002D0631">
        <w:rPr>
          <w:rFonts w:ascii="Times New Roman" w:hAnsi="Times New Roman" w:cs="Times New Roman"/>
          <w:sz w:val="28"/>
          <w:szCs w:val="28"/>
        </w:rPr>
        <w:t xml:space="preserve"> </w:t>
      </w:r>
      <w:r w:rsidR="006209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091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2091E">
        <w:rPr>
          <w:rFonts w:ascii="Times New Roman" w:hAnsi="Times New Roman" w:cs="Times New Roman"/>
          <w:sz w:val="28"/>
          <w:szCs w:val="28"/>
        </w:rPr>
        <w:t>агода</w:t>
      </w:r>
    </w:p>
    <w:p w:rsidR="007445F1" w:rsidRDefault="007445F1" w:rsidP="0074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86" w:rsidRPr="00601CC2" w:rsidRDefault="00331B86" w:rsidP="00331B8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01CC2">
        <w:rPr>
          <w:rFonts w:ascii="Times New Roman CYR" w:hAnsi="Times New Roman CYR" w:cs="Times New Roman CYR"/>
          <w:sz w:val="28"/>
          <w:szCs w:val="28"/>
        </w:rPr>
        <w:t xml:space="preserve">Заключение  контрольно-счетной комиссии Чагодощенского муниципального округа Вологодской области (далее контрольно-счетная комиссия) о результатах внешней проверки годовой бюджетной отчетности за 2022 год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Администрации сельского поселения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Белокрестское</w:t>
      </w:r>
      <w:proofErr w:type="spellEnd"/>
      <w:r w:rsidRPr="00601CC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Администрация поселения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)  подготовлено  в соответствии  с  Бюджетным  кодексом Российской Федерации, решением Представительного Собрания Чагодощенского муниципального округа от 27.10.2022 года №23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601CC2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Pr="00601CC2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601CC2">
        <w:rPr>
          <w:rFonts w:ascii="Times New Roman" w:hAnsi="Times New Roman" w:cs="Times New Roman"/>
          <w:sz w:val="28"/>
          <w:szCs w:val="28"/>
        </w:rPr>
        <w:t>», Положением о</w:t>
      </w:r>
      <w:proofErr w:type="gramEnd"/>
      <w:r w:rsidRPr="00601CC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Чагодощенского муниципального округа </w:t>
      </w:r>
      <w:proofErr w:type="gramStart"/>
      <w:r w:rsidRPr="00601CC2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601CC2">
        <w:rPr>
          <w:rFonts w:ascii="Times New Roman" w:hAnsi="Times New Roman" w:cs="Times New Roman"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округа от 27.10.2022 года №29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>О создании контрольно-счетной комиссии Чагодощенского муниципального округа Вологодской области</w:t>
      </w:r>
      <w:r w:rsidRPr="00601CC2">
        <w:rPr>
          <w:rFonts w:ascii="Times New Roman" w:hAnsi="Times New Roman" w:cs="Times New Roman"/>
          <w:sz w:val="28"/>
          <w:szCs w:val="28"/>
        </w:rPr>
        <w:t xml:space="preserve">», </w:t>
      </w:r>
      <w:r w:rsidRPr="00601CC2"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контроля:  «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 местного бюджета» утвержденного приказом председателя контрольно-счетной комиссии  от 03.03.2023г. № 18 о/</w:t>
      </w:r>
      <w:proofErr w:type="spellStart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«Проведение  экспертно - аналитического мероприятия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Вологодской области»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331B86" w:rsidRPr="00601CC2" w:rsidRDefault="00331B86" w:rsidP="00331B8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CC2">
        <w:rPr>
          <w:rFonts w:ascii="Times New Roman CYR" w:hAnsi="Times New Roman CYR" w:cs="Times New Roman CYR"/>
          <w:sz w:val="28"/>
          <w:szCs w:val="28"/>
        </w:rPr>
        <w:t xml:space="preserve">Внешняя проверка бюджетной отчетности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Администрации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проводилась в соответствии с пунктом </w:t>
      </w:r>
      <w:r w:rsidR="00E97417">
        <w:rPr>
          <w:rFonts w:ascii="Times New Roman CYR" w:hAnsi="Times New Roman CYR" w:cs="Times New Roman CYR"/>
          <w:sz w:val="28"/>
          <w:szCs w:val="28"/>
        </w:rPr>
        <w:t>2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 Плана работы контрольно- счетного отдела на 2023 год, утвержденного приказом председателя  контрольно-счетной комиссии Чагодощенского муниципального округа от 09.01.2023 № 3 о/</w:t>
      </w:r>
      <w:proofErr w:type="spellStart"/>
      <w:r w:rsidRPr="00601CC2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601CC2">
        <w:rPr>
          <w:rFonts w:ascii="Times New Roman CYR" w:hAnsi="Times New Roman CYR" w:cs="Times New Roman CYR"/>
          <w:sz w:val="28"/>
          <w:szCs w:val="28"/>
        </w:rPr>
        <w:t>, в форме экспертно-аналитического мероприятия без выхода на объект контроля.</w:t>
      </w:r>
    </w:p>
    <w:p w:rsidR="00331B86" w:rsidRPr="000D032F" w:rsidRDefault="00331B86" w:rsidP="00331B8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Администрации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проводилась с целью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распорядителя бюджетных средств; соблюдения общих правил составления бюджетной отчетности, определенных Федеральным законом от 06.12.2011 №402-ФЗ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601CC2">
        <w:rPr>
          <w:rFonts w:ascii="Times New Roman" w:hAnsi="Times New Roman" w:cs="Times New Roman"/>
          <w:sz w:val="28"/>
          <w:szCs w:val="28"/>
        </w:rPr>
        <w:t xml:space="preserve">»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</w:t>
      </w:r>
      <w:r w:rsidRPr="00601CC2">
        <w:rPr>
          <w:rFonts w:ascii="Times New Roman CYR" w:hAnsi="Times New Roman CYR" w:cs="Times New Roman CYR"/>
          <w:sz w:val="28"/>
          <w:szCs w:val="28"/>
        </w:rPr>
        <w:lastRenderedPageBreak/>
        <w:t xml:space="preserve">Федерации от 28.12.2010 № 191н (с изменениями); проведения анализа исполнения бюджета главным распорядителем бюджетных средств и анализа </w:t>
      </w:r>
      <w:r w:rsidRPr="000D032F">
        <w:rPr>
          <w:rFonts w:ascii="Times New Roman CYR" w:hAnsi="Times New Roman CYR" w:cs="Times New Roman CYR"/>
          <w:sz w:val="28"/>
          <w:szCs w:val="28"/>
        </w:rPr>
        <w:t>результатов деятельности главного распорядителя бюджетных средств.</w:t>
      </w:r>
    </w:p>
    <w:p w:rsidR="00331B86" w:rsidRPr="000D032F" w:rsidRDefault="00331B86" w:rsidP="00331B8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D032F">
        <w:rPr>
          <w:rFonts w:ascii="Times New Roman CYR" w:hAnsi="Times New Roman CYR" w:cs="Times New Roman CYR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>
        <w:rPr>
          <w:rFonts w:ascii="Times New Roman CYR" w:hAnsi="Times New Roman CYR" w:cs="Times New Roman CYR"/>
          <w:sz w:val="28"/>
          <w:szCs w:val="28"/>
        </w:rPr>
        <w:t xml:space="preserve">заместитель Главы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032F">
        <w:rPr>
          <w:rFonts w:ascii="Times New Roman CYR" w:hAnsi="Times New Roman CYR" w:cs="Times New Roman CYR"/>
          <w:sz w:val="28"/>
          <w:szCs w:val="28"/>
        </w:rPr>
        <w:t xml:space="preserve"> — </w:t>
      </w:r>
      <w:r>
        <w:rPr>
          <w:rFonts w:ascii="Times New Roman CYR" w:hAnsi="Times New Roman CYR" w:cs="Times New Roman CYR"/>
          <w:sz w:val="28"/>
          <w:szCs w:val="28"/>
        </w:rPr>
        <w:t>Егорова Т.Б.</w:t>
      </w:r>
      <w:r w:rsidR="00FE2BEE">
        <w:rPr>
          <w:rFonts w:ascii="Times New Roman CYR" w:hAnsi="Times New Roman CYR" w:cs="Times New Roman CYR"/>
          <w:sz w:val="28"/>
          <w:szCs w:val="28"/>
        </w:rPr>
        <w:t xml:space="preserve"> ( на основании постановления Главы Чагодощенского муниципального округа от 24.11.2022 г. № 2  «О наделении полномочий»)</w:t>
      </w:r>
      <w:proofErr w:type="gramStart"/>
      <w:r w:rsidR="00FE2BE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032F">
        <w:rPr>
          <w:rFonts w:ascii="Times New Roman CYR" w:hAnsi="Times New Roman CYR" w:cs="Times New Roman CYR"/>
          <w:sz w:val="28"/>
          <w:szCs w:val="28"/>
        </w:rPr>
        <w:t xml:space="preserve">директор МКУ ЧМР </w:t>
      </w:r>
      <w:r w:rsidRPr="000D032F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Pr="000D032F">
        <w:rPr>
          <w:rFonts w:ascii="Times New Roman CYR" w:hAnsi="Times New Roman CYR" w:cs="Times New Roman CYR"/>
          <w:sz w:val="28"/>
          <w:szCs w:val="28"/>
        </w:rPr>
        <w:t xml:space="preserve">Евдокимова С.Н., главный бухгалтер </w:t>
      </w:r>
      <w:r w:rsidRPr="000D032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– Орловой АА. </w:t>
      </w:r>
    </w:p>
    <w:p w:rsidR="00A40CA4" w:rsidRPr="00A40CA4" w:rsidRDefault="00A40CA4" w:rsidP="00A40C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45F1" w:rsidRPr="00A40CA4" w:rsidRDefault="007445F1" w:rsidP="007445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0CA4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Организационный раздел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образование </w:t>
      </w:r>
      <w:proofErr w:type="spellStart"/>
      <w:r w:rsidR="00A40CA4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является сельским поселением. Статус муниципального образования установлен законом Вологодской области от</w:t>
      </w:r>
      <w:r w:rsidR="00A40CA4">
        <w:rPr>
          <w:rFonts w:ascii="Times New Roman CYR" w:hAnsi="Times New Roman CYR" w:cs="Times New Roman CYR"/>
          <w:sz w:val="28"/>
          <w:szCs w:val="28"/>
        </w:rPr>
        <w:t xml:space="preserve"> 26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0CA4">
        <w:rPr>
          <w:rFonts w:ascii="Times New Roman CYR" w:hAnsi="Times New Roman CYR" w:cs="Times New Roman CYR"/>
          <w:sz w:val="28"/>
          <w:szCs w:val="28"/>
        </w:rPr>
        <w:t>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</w:t>
      </w:r>
      <w:r w:rsidR="00A40CA4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40CA4">
        <w:rPr>
          <w:rFonts w:ascii="Times New Roman CYR" w:hAnsi="Times New Roman CYR" w:cs="Times New Roman CYR"/>
          <w:sz w:val="28"/>
          <w:szCs w:val="28"/>
        </w:rPr>
        <w:t>3783</w:t>
      </w:r>
      <w:r>
        <w:rPr>
          <w:rFonts w:ascii="Times New Roman CYR" w:hAnsi="Times New Roman CYR" w:cs="Times New Roman CYR"/>
          <w:sz w:val="28"/>
          <w:szCs w:val="28"/>
        </w:rPr>
        <w:t>-ОЗ.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 сельского поселения</w:t>
      </w:r>
      <w:r w:rsidR="00A40CA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40CA4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(далее - Администрация поселения) является постоянно действующим исполнительно - 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 обладает правами юридического лица, имеет самостоятельный баланс, смету, гербовую печать, штампы, бланки со своим наименованием.</w:t>
      </w:r>
    </w:p>
    <w:p w:rsidR="00384701" w:rsidRDefault="00384701" w:rsidP="003847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4221">
        <w:rPr>
          <w:rFonts w:ascii="Times New Roman CYR" w:hAnsi="Times New Roman CYR" w:cs="Times New Roman CYR"/>
          <w:sz w:val="28"/>
          <w:szCs w:val="28"/>
        </w:rPr>
        <w:t xml:space="preserve">Численность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поселения 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согласно штатному расписанию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на начало отчетного периода 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12,9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штатные единицы</w:t>
      </w:r>
      <w:r>
        <w:rPr>
          <w:rFonts w:ascii="Times New Roman CYR" w:hAnsi="Times New Roman CYR" w:cs="Times New Roman CYR"/>
          <w:sz w:val="28"/>
          <w:szCs w:val="28"/>
        </w:rPr>
        <w:t>, на конец отчетного периода штатная численность составила 11,9 единиц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54221">
        <w:rPr>
          <w:rFonts w:ascii="Times New Roman CYR" w:hAnsi="Times New Roman CYR" w:cs="Times New Roman CYR"/>
          <w:sz w:val="28"/>
          <w:szCs w:val="28"/>
        </w:rPr>
        <w:t>ф</w:t>
      </w:r>
      <w:proofErr w:type="gramEnd"/>
      <w:r w:rsidRPr="00D54221">
        <w:rPr>
          <w:rFonts w:ascii="Times New Roman CYR" w:hAnsi="Times New Roman CYR" w:cs="Times New Roman CYR"/>
          <w:sz w:val="28"/>
          <w:szCs w:val="28"/>
        </w:rPr>
        <w:t xml:space="preserve">актическая численность работающих на конец отчетного периода составляет </w:t>
      </w:r>
      <w:r>
        <w:rPr>
          <w:rFonts w:ascii="Times New Roman CYR" w:hAnsi="Times New Roman CYR" w:cs="Times New Roman CYR"/>
          <w:sz w:val="28"/>
          <w:szCs w:val="28"/>
        </w:rPr>
        <w:t xml:space="preserve">11,9 </w:t>
      </w:r>
      <w:r w:rsidRPr="00D54221">
        <w:rPr>
          <w:rFonts w:ascii="Times New Roman CYR" w:hAnsi="Times New Roman CYR" w:cs="Times New Roman CYR"/>
          <w:sz w:val="28"/>
          <w:szCs w:val="28"/>
        </w:rPr>
        <w:t>человек.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9030B" w:rsidRDefault="0019030B" w:rsidP="00190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образование </w:t>
      </w:r>
      <w:proofErr w:type="spellStart"/>
      <w:r w:rsidR="000808E4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учредителем </w:t>
      </w:r>
      <w:r w:rsidR="00C46243"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>Белокрестский</w:t>
      </w:r>
      <w:proofErr w:type="spellEnd"/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СКО»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. Функции, полномочия учредителя и собственника имущества Учреждения осуществляет администрация </w:t>
      </w:r>
      <w:proofErr w:type="spellStart"/>
      <w:r w:rsidR="005C6EF4">
        <w:rPr>
          <w:rFonts w:ascii="Times New Roman CYR" w:hAnsi="Times New Roman CYR" w:cs="Times New Roman CYR"/>
          <w:color w:val="000000"/>
          <w:sz w:val="28"/>
          <w:szCs w:val="28"/>
        </w:rPr>
        <w:t>Белокрестского</w:t>
      </w:r>
      <w:proofErr w:type="spellEnd"/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19030B" w:rsidRDefault="0019030B" w:rsidP="00190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осуществляет МКУ ЧМР 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Центр обеспечения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Соглашением от  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>12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Ответственным специалистом по ведению бухгалтерского учета назначена бухгалтер Ларионова Л.Н.</w:t>
      </w:r>
    </w:p>
    <w:p w:rsidR="004C2C37" w:rsidRDefault="004C2C37" w:rsidP="004C2C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    </w:t>
      </w:r>
      <w:proofErr w:type="gramStart"/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В  целях реализации  закона Вологодской области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28.04.2022 № 5108-ОЗ «О преобразовании всех поселений, входящих в состав Чагодощенского муниципального района Вологодской области, путем их объединения,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 решением Представительного Собрания Чагодощенского муниципального округа 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54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08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.2022г. «О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реорганизации органов местного самоуправления Чагодощенского муниципального района, администраций городских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сельских поселений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Чагодощенского муниципального района»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поселения находится в процессе реорганизации  в форме присоединения к другому юридическому лицу, запись о начале процедуры реорганизации в ЕГРЮЛ внесена 19.12.2022г. С 01.01.2023г. правопреемником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Белокрестское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7C27">
        <w:rPr>
          <w:rFonts w:ascii="Times New Roman" w:hAnsi="Times New Roman" w:cs="Times New Roman"/>
          <w:sz w:val="26"/>
          <w:szCs w:val="26"/>
        </w:rPr>
        <w:t xml:space="preserve">территориальное управление администрации Чагодощенского муниципального округа </w:t>
      </w:r>
      <w:r w:rsidRPr="00A97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(ИНН </w:t>
      </w:r>
      <w:r w:rsidRPr="00A97C27">
        <w:rPr>
          <w:rFonts w:ascii="Times New Roman" w:hAnsi="Times New Roman" w:cs="Times New Roman"/>
          <w:sz w:val="26"/>
          <w:szCs w:val="26"/>
        </w:rPr>
        <w:t>35220048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A97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). </w:t>
      </w:r>
      <w:r w:rsidRPr="00A97C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84701" w:rsidRPr="00EC7BD6" w:rsidRDefault="00384701" w:rsidP="00384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9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>
        <w:rPr>
          <w:rFonts w:ascii="Times New Roman CYR" w:hAnsi="Times New Roman CYR" w:cs="Times New Roman CYR"/>
          <w:sz w:val="28"/>
          <w:szCs w:val="28"/>
        </w:rPr>
        <w:t xml:space="preserve">за отчетный финансовый год за 2022 год представлен  20 марта 2023 года в контрольно-счетную комиссию, что соответствует сроку представления годовой бюджетной отчетности, установленному решением Представительному Собранию Чагодощенского муниципального округа  от 27.10.2022 года №23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Бюджетная отчетность составлена в соответствии с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Организация бюджетного учета осуществляется в соответствии с Единым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7445F1" w:rsidRPr="0019030B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9030B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7445F1" w:rsidRDefault="0019030B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7445F1" w:rsidRPr="0019030B">
        <w:rPr>
          <w:rFonts w:ascii="Times New Roman CYR" w:hAnsi="Times New Roman CYR" w:cs="Times New Roman CYR"/>
          <w:sz w:val="28"/>
          <w:szCs w:val="28"/>
        </w:rPr>
        <w:t xml:space="preserve"> соответствии с пунктом 9 Инструкции №191н бюджетная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отчетность составлена нарастающим итогом с начала года в рублях с точностью до второго десятичного знака после запятой.</w:t>
      </w:r>
    </w:p>
    <w:p w:rsidR="007445F1" w:rsidRDefault="007445F1" w:rsidP="007445F1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1C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7445F1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годовой бюджетной отчетности администрации поселения</w:t>
      </w:r>
    </w:p>
    <w:p w:rsidR="007445F1" w:rsidRPr="007445F1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ходе анализа представленной к проверке бюджетной отчетности </w:t>
      </w:r>
      <w:r w:rsidR="005639DF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онтрольно-счетн</w:t>
      </w:r>
      <w:r w:rsidR="00A9131E">
        <w:rPr>
          <w:rFonts w:ascii="Times New Roman CYR" w:hAnsi="Times New Roman CYR" w:cs="Times New Roman CYR"/>
          <w:color w:val="000000"/>
          <w:sz w:val="28"/>
          <w:szCs w:val="28"/>
        </w:rPr>
        <w:t>ой комиссией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A9131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установлено ее соответствие 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районного бюджета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формирования и применения кодов бюджетной классификации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их структуре и принципах назначения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C0735">
        <w:rPr>
          <w:rFonts w:ascii="Times New Roman CYR" w:hAnsi="Times New Roman CYR" w:cs="Times New Roman CYR"/>
          <w:sz w:val="28"/>
          <w:szCs w:val="28"/>
        </w:rPr>
        <w:t xml:space="preserve">Формы бюджетной отчетности </w:t>
      </w:r>
      <w:r w:rsidRPr="00FC0735">
        <w:rPr>
          <w:rFonts w:ascii="Times New Roman" w:hAnsi="Times New Roman" w:cs="Times New Roman"/>
          <w:sz w:val="28"/>
          <w:szCs w:val="28"/>
        </w:rPr>
        <w:t>«</w:t>
      </w:r>
      <w:r w:rsidRPr="00FC0735">
        <w:rPr>
          <w:rFonts w:ascii="Times New Roman CYR" w:hAnsi="Times New Roman CYR" w:cs="Times New Roman CYR"/>
          <w:sz w:val="28"/>
          <w:szCs w:val="28"/>
        </w:rPr>
        <w:t>Справка по консолидируемым расчетам</w:t>
      </w:r>
      <w:r w:rsidRPr="00FC0735">
        <w:rPr>
          <w:rFonts w:ascii="Times New Roman" w:hAnsi="Times New Roman" w:cs="Times New Roman"/>
          <w:sz w:val="28"/>
          <w:szCs w:val="28"/>
        </w:rPr>
        <w:t>» (</w:t>
      </w:r>
      <w:r w:rsidRPr="00FC0735">
        <w:rPr>
          <w:rFonts w:ascii="Times New Roman CYR" w:hAnsi="Times New Roman CYR" w:cs="Times New Roman CYR"/>
          <w:sz w:val="28"/>
          <w:szCs w:val="28"/>
        </w:rPr>
        <w:t>форма 05031</w:t>
      </w:r>
      <w:r w:rsidR="00A9131E" w:rsidRPr="00FC0735">
        <w:rPr>
          <w:rFonts w:ascii="Times New Roman CYR" w:hAnsi="Times New Roman CYR" w:cs="Times New Roman CYR"/>
          <w:sz w:val="28"/>
          <w:szCs w:val="28"/>
        </w:rPr>
        <w:t>66</w:t>
      </w:r>
      <w:r w:rsidRPr="00FC0735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FC0735">
        <w:rPr>
          <w:rFonts w:ascii="Times New Roman" w:hAnsi="Times New Roman" w:cs="Times New Roman"/>
          <w:sz w:val="28"/>
          <w:szCs w:val="28"/>
        </w:rPr>
        <w:t>«</w:t>
      </w:r>
      <w:r w:rsidRPr="00FC07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735">
        <w:rPr>
          <w:rFonts w:ascii="Times New Roman" w:hAnsi="Times New Roman" w:cs="Times New Roman"/>
          <w:sz w:val="28"/>
          <w:szCs w:val="28"/>
        </w:rPr>
        <w:t>«</w:t>
      </w:r>
      <w:r w:rsidRPr="00FC0735">
        <w:rPr>
          <w:rFonts w:ascii="Times New Roman CYR" w:hAnsi="Times New Roman CYR" w:cs="Times New Roman CYR"/>
          <w:sz w:val="28"/>
          <w:szCs w:val="28"/>
        </w:rPr>
        <w:t>Сведения о целевых иностранных кредитах</w:t>
      </w:r>
      <w:r w:rsidRPr="00FC0735">
        <w:rPr>
          <w:rFonts w:ascii="Times New Roman" w:hAnsi="Times New Roman" w:cs="Times New Roman"/>
          <w:sz w:val="28"/>
          <w:szCs w:val="28"/>
        </w:rPr>
        <w:t>» (</w:t>
      </w:r>
      <w:r w:rsidRPr="00FC0735">
        <w:rPr>
          <w:rFonts w:ascii="Times New Roman CYR" w:hAnsi="Times New Roman CYR" w:cs="Times New Roman CYR"/>
          <w:sz w:val="28"/>
          <w:szCs w:val="28"/>
        </w:rPr>
        <w:t xml:space="preserve">форма 0503167), </w:t>
      </w:r>
      <w:r w:rsidRPr="00FC0735">
        <w:rPr>
          <w:rFonts w:ascii="Times New Roman" w:hAnsi="Times New Roman" w:cs="Times New Roman"/>
          <w:sz w:val="28"/>
          <w:szCs w:val="28"/>
        </w:rPr>
        <w:t>«</w:t>
      </w:r>
      <w:r w:rsidRPr="00FC0735">
        <w:rPr>
          <w:rFonts w:ascii="Times New Roman CYR" w:hAnsi="Times New Roman CYR" w:cs="Times New Roman CYR"/>
          <w:sz w:val="28"/>
          <w:szCs w:val="28"/>
        </w:rPr>
        <w:t>Сведения о государственном (муниципальном) долге, предоставленных бюджетных кредитах</w:t>
      </w:r>
      <w:r w:rsidRPr="00FC0735">
        <w:rPr>
          <w:rFonts w:ascii="Times New Roman" w:hAnsi="Times New Roman" w:cs="Times New Roman"/>
          <w:sz w:val="28"/>
          <w:szCs w:val="28"/>
        </w:rPr>
        <w:t>» (</w:t>
      </w:r>
      <w:r w:rsidRPr="00FC0735">
        <w:rPr>
          <w:rFonts w:ascii="Times New Roman CYR" w:hAnsi="Times New Roman CYR" w:cs="Times New Roman CYR"/>
          <w:sz w:val="28"/>
          <w:szCs w:val="28"/>
        </w:rPr>
        <w:t xml:space="preserve">форма 0503172), </w:t>
      </w:r>
      <w:r w:rsidR="000808E4">
        <w:rPr>
          <w:rFonts w:ascii="Times New Roman CYR" w:hAnsi="Times New Roman CYR" w:cs="Times New Roman CYR"/>
          <w:sz w:val="28"/>
          <w:szCs w:val="28"/>
        </w:rPr>
        <w:t>«</w:t>
      </w:r>
      <w:r w:rsidRPr="00FC0735">
        <w:rPr>
          <w:rFonts w:ascii="Times New Roman" w:hAnsi="Times New Roman" w:cs="Times New Roman"/>
          <w:sz w:val="28"/>
          <w:szCs w:val="28"/>
        </w:rPr>
        <w:t>«</w:t>
      </w:r>
      <w:r w:rsidRPr="00FC0735">
        <w:rPr>
          <w:rFonts w:ascii="Times New Roman CYR" w:hAnsi="Times New Roman CYR" w:cs="Times New Roman CYR"/>
          <w:sz w:val="28"/>
          <w:szCs w:val="28"/>
        </w:rPr>
        <w:t>Сведения о доходах бюджета от перечисления части прибыли (дивидендов)  государственных (муниципальных) унитарных  предприятий,  иных  организаций с государственным участием в капитале</w:t>
      </w:r>
      <w:r w:rsidRPr="00FC0735">
        <w:rPr>
          <w:rFonts w:ascii="Times New Roman" w:hAnsi="Times New Roman" w:cs="Times New Roman"/>
          <w:sz w:val="28"/>
          <w:szCs w:val="28"/>
        </w:rPr>
        <w:t>» (</w:t>
      </w:r>
      <w:r w:rsidRPr="00FC0735">
        <w:rPr>
          <w:rFonts w:ascii="Times New Roman CYR" w:hAnsi="Times New Roman CYR" w:cs="Times New Roman CYR"/>
          <w:sz w:val="28"/>
          <w:szCs w:val="28"/>
        </w:rPr>
        <w:t xml:space="preserve">форма 0503174), </w:t>
      </w:r>
      <w:r w:rsidRPr="00FC0735">
        <w:rPr>
          <w:rFonts w:ascii="Times New Roman" w:hAnsi="Times New Roman" w:cs="Times New Roman"/>
          <w:sz w:val="28"/>
          <w:szCs w:val="28"/>
        </w:rPr>
        <w:t>«</w:t>
      </w:r>
      <w:r w:rsidRPr="00FC0735">
        <w:rPr>
          <w:rFonts w:ascii="Times New Roman CYR" w:hAnsi="Times New Roman CYR" w:cs="Times New Roman CYR"/>
          <w:sz w:val="28"/>
          <w:szCs w:val="28"/>
        </w:rPr>
        <w:t>Справка об остатках денежных средств получателя бюджетных средств</w:t>
      </w:r>
      <w:r w:rsidRPr="00FC0735">
        <w:rPr>
          <w:rFonts w:ascii="Times New Roman" w:hAnsi="Times New Roman" w:cs="Times New Roman"/>
          <w:sz w:val="28"/>
          <w:szCs w:val="28"/>
        </w:rPr>
        <w:t>» (</w:t>
      </w:r>
      <w:r w:rsidRPr="00FC0735">
        <w:rPr>
          <w:rFonts w:ascii="Times New Roman CYR" w:hAnsi="Times New Roman CYR" w:cs="Times New Roman CYR"/>
          <w:sz w:val="28"/>
          <w:szCs w:val="28"/>
        </w:rPr>
        <w:t xml:space="preserve">форма 0503178), </w:t>
      </w:r>
      <w:r w:rsidRPr="00FC0735">
        <w:rPr>
          <w:rFonts w:ascii="Times New Roman" w:hAnsi="Times New Roman" w:cs="Times New Roman"/>
          <w:sz w:val="28"/>
          <w:szCs w:val="28"/>
        </w:rPr>
        <w:t>«</w:t>
      </w:r>
      <w:r w:rsidRPr="00FC0735">
        <w:rPr>
          <w:rFonts w:ascii="Times New Roman CYR" w:hAnsi="Times New Roman CYR" w:cs="Times New Roman CYR"/>
          <w:sz w:val="28"/>
          <w:szCs w:val="28"/>
        </w:rPr>
        <w:t>Справка о</w:t>
      </w:r>
      <w:proofErr w:type="gramEnd"/>
      <w:r w:rsidRPr="00FC073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C0735">
        <w:rPr>
          <w:rFonts w:ascii="Times New Roman CYR" w:hAnsi="Times New Roman CYR" w:cs="Times New Roman CYR"/>
          <w:sz w:val="28"/>
          <w:szCs w:val="28"/>
        </w:rPr>
        <w:t>суммах</w:t>
      </w:r>
      <w:proofErr w:type="gramEnd"/>
      <w:r w:rsidRPr="00FC0735">
        <w:rPr>
          <w:rFonts w:ascii="Times New Roman CYR" w:hAnsi="Times New Roman CYR" w:cs="Times New Roman CYR"/>
          <w:sz w:val="28"/>
          <w:szCs w:val="28"/>
        </w:rPr>
        <w:t xml:space="preserve"> консолидируемых поступлений, подлежащих зачислению на счет бюджета</w:t>
      </w:r>
      <w:r w:rsidRPr="00FC0735">
        <w:rPr>
          <w:rFonts w:ascii="Times New Roman" w:hAnsi="Times New Roman" w:cs="Times New Roman"/>
          <w:sz w:val="28"/>
          <w:szCs w:val="28"/>
        </w:rPr>
        <w:t>» (</w:t>
      </w:r>
      <w:r w:rsidRPr="00FC0735">
        <w:rPr>
          <w:rFonts w:ascii="Times New Roman CYR" w:hAnsi="Times New Roman CYR" w:cs="Times New Roman CYR"/>
          <w:sz w:val="28"/>
          <w:szCs w:val="28"/>
        </w:rPr>
        <w:t>форма 0503184), что соответствует требованиям пунктов 8, 152 Инструкции № 191н.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 (далее — годовая инвентаризация), таблица № 6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не представлена, информация о факте проведения годовой инвентаризации отражена в текстовой части раздела 5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(форма 0503160).</w:t>
      </w:r>
      <w:proofErr w:type="gramEnd"/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Проверкой достоверности годовой бюджетной отчетности главного распорядителя средств бюджета</w:t>
      </w:r>
      <w:r w:rsidR="00DE6DCA"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отчетности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наличия в годовой бюджетной отчетности </w:t>
      </w:r>
      <w:r w:rsidR="00EF0910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EF0910">
        <w:rPr>
          <w:rFonts w:ascii="Times New Roman CYR" w:hAnsi="Times New Roman CYR" w:cs="Times New Roman CYR"/>
          <w:sz w:val="28"/>
          <w:szCs w:val="28"/>
        </w:rPr>
        <w:t>ой комиссией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01C4">
        <w:rPr>
          <w:rFonts w:ascii="Times New Roman CYR" w:hAnsi="Times New Roman CYR" w:cs="Times New Roman CYR"/>
          <w:sz w:val="28"/>
          <w:szCs w:val="28"/>
        </w:rPr>
        <w:t>отделом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предусмотренных порядком ее составления,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6001C4">
        <w:rPr>
          <w:rFonts w:ascii="Times New Roman CYR" w:hAnsi="Times New Roman CYR" w:cs="Times New Roman CYR"/>
          <w:sz w:val="28"/>
          <w:szCs w:val="28"/>
        </w:rPr>
        <w:t xml:space="preserve">Администрации поселения </w:t>
      </w:r>
      <w:r>
        <w:rPr>
          <w:rFonts w:ascii="Times New Roman CYR" w:hAnsi="Times New Roman CYR" w:cs="Times New Roman CYR"/>
          <w:sz w:val="28"/>
          <w:szCs w:val="28"/>
        </w:rPr>
        <w:t>(форма 0503130) сформирован по состоянию на 1 января 202</w:t>
      </w:r>
      <w:r w:rsidR="005B588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3">
        <w:rPr>
          <w:rFonts w:ascii="Times New Roman" w:hAnsi="Times New Roman" w:cs="Times New Roman"/>
          <w:sz w:val="28"/>
          <w:szCs w:val="28"/>
        </w:rPr>
        <w:t xml:space="preserve">- </w:t>
      </w:r>
      <w:r w:rsidRPr="00B62DF3"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B62DF3">
        <w:rPr>
          <w:rFonts w:ascii="Times New Roman" w:hAnsi="Times New Roman" w:cs="Times New Roman"/>
          <w:sz w:val="28"/>
          <w:szCs w:val="28"/>
        </w:rPr>
        <w:t>«</w:t>
      </w:r>
      <w:r w:rsidRPr="00B62DF3"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B62DF3">
        <w:rPr>
          <w:rFonts w:ascii="Times New Roman" w:hAnsi="Times New Roman" w:cs="Times New Roman"/>
          <w:sz w:val="28"/>
          <w:szCs w:val="28"/>
        </w:rPr>
        <w:t xml:space="preserve">» </w:t>
      </w:r>
      <w:r w:rsidRPr="00B62DF3">
        <w:rPr>
          <w:rFonts w:ascii="Times New Roman CYR" w:hAnsi="Times New Roman CYR" w:cs="Times New Roman CYR"/>
          <w:sz w:val="28"/>
          <w:szCs w:val="28"/>
        </w:rPr>
        <w:t xml:space="preserve">подтверждается данными ф. 0503110. Строка 570 формы 0503130 </w:t>
      </w:r>
      <w:r w:rsidRPr="00B62DF3">
        <w:rPr>
          <w:rFonts w:ascii="Times New Roman" w:hAnsi="Times New Roman" w:cs="Times New Roman"/>
          <w:sz w:val="28"/>
          <w:szCs w:val="28"/>
        </w:rPr>
        <w:t>«</w:t>
      </w:r>
      <w:r w:rsidRPr="00B62DF3"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B62DF3">
        <w:rPr>
          <w:rFonts w:ascii="Times New Roman" w:hAnsi="Times New Roman" w:cs="Times New Roman"/>
          <w:sz w:val="28"/>
          <w:szCs w:val="28"/>
        </w:rPr>
        <w:t xml:space="preserve">» – </w:t>
      </w:r>
      <w:r w:rsidRPr="00B62DF3"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B62DF3">
        <w:rPr>
          <w:rFonts w:ascii="Times New Roman" w:hAnsi="Times New Roman" w:cs="Times New Roman"/>
          <w:sz w:val="28"/>
          <w:szCs w:val="28"/>
        </w:rPr>
        <w:t>«</w:t>
      </w:r>
      <w:r w:rsidRPr="00B62DF3"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B62DF3">
        <w:rPr>
          <w:rFonts w:ascii="Times New Roman" w:hAnsi="Times New Roman" w:cs="Times New Roman"/>
          <w:sz w:val="28"/>
          <w:szCs w:val="28"/>
        </w:rPr>
        <w:t>».</w:t>
      </w:r>
    </w:p>
    <w:p w:rsidR="002531B3" w:rsidRPr="00660CAA" w:rsidRDefault="002531B3" w:rsidP="002531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2531B3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660CAA">
        <w:rPr>
          <w:rFonts w:ascii="Times New Roman CYR" w:hAnsi="Times New Roman CYR" w:cs="Times New Roman CYR"/>
          <w:sz w:val="28"/>
          <w:szCs w:val="28"/>
        </w:rPr>
        <w:t xml:space="preserve">В соответствии с Инструкцией № 191н в состав Баланса (ф. 0503130) включена справка о наличии имущества и обязательств на </w:t>
      </w:r>
      <w:proofErr w:type="spellStart"/>
      <w:r w:rsidRPr="00660CAA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660CAA">
        <w:rPr>
          <w:rFonts w:ascii="Times New Roman CYR" w:hAnsi="Times New Roman CYR" w:cs="Times New Roman CYR"/>
          <w:sz w:val="28"/>
          <w:szCs w:val="28"/>
        </w:rPr>
        <w:t xml:space="preserve"> счетах, в которой на конец отчетного периода числится имущество - основные средства в эксплуатации в размере 306,4 тыс. рублей.</w:t>
      </w:r>
      <w:proofErr w:type="gramEnd"/>
      <w:r w:rsidRPr="00660CAA">
        <w:rPr>
          <w:rFonts w:ascii="Times New Roman CYR" w:hAnsi="Times New Roman CYR" w:cs="Times New Roman CYR"/>
          <w:sz w:val="28"/>
          <w:szCs w:val="28"/>
        </w:rPr>
        <w:t xml:space="preserve"> На начало года сумма за </w:t>
      </w:r>
      <w:proofErr w:type="spellStart"/>
      <w:r w:rsidRPr="00660CAA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660C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660CAA">
        <w:rPr>
          <w:rFonts w:ascii="Times New Roman CYR" w:hAnsi="Times New Roman CYR" w:cs="Times New Roman CYR"/>
          <w:sz w:val="28"/>
          <w:szCs w:val="28"/>
        </w:rPr>
        <w:t>счетах</w:t>
      </w:r>
      <w:proofErr w:type="gramEnd"/>
      <w:r w:rsidRPr="00660CAA">
        <w:rPr>
          <w:rFonts w:ascii="Times New Roman CYR" w:hAnsi="Times New Roman CYR" w:cs="Times New Roman CYR"/>
          <w:sz w:val="28"/>
          <w:szCs w:val="28"/>
        </w:rPr>
        <w:t xml:space="preserve"> не соответствует </w:t>
      </w:r>
      <w:r w:rsidR="00666807" w:rsidRPr="00660CAA">
        <w:rPr>
          <w:rFonts w:ascii="Times New Roman CYR" w:hAnsi="Times New Roman CYR" w:cs="Times New Roman CYR"/>
          <w:sz w:val="28"/>
          <w:szCs w:val="28"/>
        </w:rPr>
        <w:t xml:space="preserve">данным граф </w:t>
      </w:r>
      <w:r w:rsidR="00666807" w:rsidRPr="00660CAA">
        <w:rPr>
          <w:rFonts w:ascii="Times New Roman" w:hAnsi="Times New Roman" w:cs="Times New Roman"/>
          <w:sz w:val="28"/>
          <w:szCs w:val="28"/>
        </w:rPr>
        <w:t>«</w:t>
      </w:r>
      <w:r w:rsidR="00666807" w:rsidRPr="00660CAA">
        <w:rPr>
          <w:rFonts w:ascii="Times New Roman CYR" w:hAnsi="Times New Roman CYR" w:cs="Times New Roman CYR"/>
          <w:sz w:val="28"/>
          <w:szCs w:val="28"/>
        </w:rPr>
        <w:t>На конец отчетного периода</w:t>
      </w:r>
      <w:r w:rsidR="00666807" w:rsidRPr="00660CAA">
        <w:rPr>
          <w:rFonts w:ascii="Times New Roman" w:hAnsi="Times New Roman" w:cs="Times New Roman"/>
          <w:sz w:val="28"/>
          <w:szCs w:val="28"/>
        </w:rPr>
        <w:t xml:space="preserve">» </w:t>
      </w:r>
      <w:r w:rsidR="00666807" w:rsidRPr="00660CAA">
        <w:rPr>
          <w:rFonts w:ascii="Times New Roman CYR" w:hAnsi="Times New Roman CYR" w:cs="Times New Roman CYR"/>
          <w:sz w:val="28"/>
          <w:szCs w:val="28"/>
        </w:rPr>
        <w:t xml:space="preserve">предыдущего года. Форма 0503173 «Сведения об изменении остатков валюты баланса» представлена Администрацией поселения, </w:t>
      </w:r>
      <w:proofErr w:type="gramStart"/>
      <w:r w:rsidR="00666807" w:rsidRPr="00660CAA"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 w:rsidR="00666807" w:rsidRPr="00660CAA">
        <w:rPr>
          <w:rFonts w:ascii="Times New Roman CYR" w:hAnsi="Times New Roman CYR" w:cs="Times New Roman CYR"/>
          <w:sz w:val="28"/>
          <w:szCs w:val="28"/>
        </w:rPr>
        <w:t xml:space="preserve">.3 </w:t>
      </w:r>
      <w:r w:rsidR="00E55B15" w:rsidRPr="00660CAA">
        <w:rPr>
          <w:rFonts w:ascii="Times New Roman CYR" w:hAnsi="Times New Roman CYR" w:cs="Times New Roman CYR"/>
          <w:sz w:val="28"/>
          <w:szCs w:val="28"/>
        </w:rPr>
        <w:t xml:space="preserve">формы 503130 </w:t>
      </w:r>
      <w:r w:rsidR="00666807" w:rsidRPr="00660CAA">
        <w:rPr>
          <w:rFonts w:ascii="Times New Roman CYR" w:hAnsi="Times New Roman CYR" w:cs="Times New Roman CYR"/>
          <w:sz w:val="28"/>
          <w:szCs w:val="28"/>
        </w:rPr>
        <w:t xml:space="preserve">изменения по </w:t>
      </w:r>
      <w:proofErr w:type="spellStart"/>
      <w:r w:rsidR="00666807" w:rsidRPr="00660CAA">
        <w:rPr>
          <w:rFonts w:ascii="Times New Roman CYR" w:hAnsi="Times New Roman CYR" w:cs="Times New Roman CYR"/>
          <w:sz w:val="28"/>
          <w:szCs w:val="28"/>
        </w:rPr>
        <w:t>забалансовым</w:t>
      </w:r>
      <w:proofErr w:type="spellEnd"/>
      <w:r w:rsidR="00666807" w:rsidRPr="00660CAA">
        <w:rPr>
          <w:rFonts w:ascii="Times New Roman CYR" w:hAnsi="Times New Roman CYR" w:cs="Times New Roman CYR"/>
          <w:sz w:val="28"/>
          <w:szCs w:val="28"/>
        </w:rPr>
        <w:t xml:space="preserve"> счетам </w:t>
      </w:r>
      <w:r w:rsidR="00E55B15" w:rsidRPr="00660CAA">
        <w:rPr>
          <w:rFonts w:ascii="Times New Roman CYR" w:hAnsi="Times New Roman CYR" w:cs="Times New Roman CYR"/>
          <w:sz w:val="28"/>
          <w:szCs w:val="28"/>
        </w:rPr>
        <w:t xml:space="preserve">на начало </w:t>
      </w:r>
      <w:proofErr w:type="spellStart"/>
      <w:r w:rsidR="00E55B15" w:rsidRPr="00660CAA">
        <w:rPr>
          <w:rFonts w:ascii="Times New Roman CYR" w:hAnsi="Times New Roman CYR" w:cs="Times New Roman CYR"/>
          <w:sz w:val="28"/>
          <w:szCs w:val="28"/>
        </w:rPr>
        <w:t>очетного</w:t>
      </w:r>
      <w:proofErr w:type="spellEnd"/>
      <w:r w:rsidR="00E55B15" w:rsidRPr="00660CAA">
        <w:rPr>
          <w:rFonts w:ascii="Times New Roman CYR" w:hAnsi="Times New Roman CYR" w:cs="Times New Roman CYR"/>
          <w:sz w:val="28"/>
          <w:szCs w:val="28"/>
        </w:rPr>
        <w:t xml:space="preserve"> периода </w:t>
      </w:r>
      <w:r w:rsidR="00666807" w:rsidRPr="00660CAA">
        <w:rPr>
          <w:rFonts w:ascii="Times New Roman CYR" w:hAnsi="Times New Roman CYR" w:cs="Times New Roman CYR"/>
          <w:sz w:val="28"/>
          <w:szCs w:val="28"/>
        </w:rPr>
        <w:t xml:space="preserve">соответствует справке о наличии имущества и обязательств на </w:t>
      </w:r>
      <w:proofErr w:type="spellStart"/>
      <w:r w:rsidR="00666807" w:rsidRPr="00660CAA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="00666807" w:rsidRPr="00660CAA">
        <w:rPr>
          <w:rFonts w:ascii="Times New Roman CYR" w:hAnsi="Times New Roman CYR" w:cs="Times New Roman CYR"/>
          <w:sz w:val="28"/>
          <w:szCs w:val="28"/>
        </w:rPr>
        <w:t xml:space="preserve"> счетах</w:t>
      </w:r>
      <w:r w:rsidR="00E55B15" w:rsidRPr="00660CAA">
        <w:rPr>
          <w:rFonts w:ascii="Times New Roman CYR" w:hAnsi="Times New Roman CYR" w:cs="Times New Roman CYR"/>
          <w:sz w:val="28"/>
          <w:szCs w:val="28"/>
        </w:rPr>
        <w:t xml:space="preserve"> формы 0503173</w:t>
      </w:r>
      <w:r w:rsidR="0015218D" w:rsidRPr="00660CAA">
        <w:rPr>
          <w:rFonts w:ascii="Times New Roman CYR" w:hAnsi="Times New Roman CYR" w:cs="Times New Roman CYR"/>
          <w:sz w:val="28"/>
          <w:szCs w:val="28"/>
        </w:rPr>
        <w:t xml:space="preserve"> (исправление ошибки прошлых лет).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сверки утвержденных бюджетных назначений отчета ф. 0503127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об исполнении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 одноименными показателями решения </w:t>
      </w:r>
      <w:r w:rsidR="00E74560" w:rsidRPr="002A7585">
        <w:rPr>
          <w:rFonts w:ascii="Times New Roman CYR" w:hAnsi="Times New Roman CYR" w:cs="Times New Roman CYR"/>
          <w:sz w:val="28"/>
          <w:szCs w:val="28"/>
        </w:rPr>
        <w:t>Представительного</w:t>
      </w:r>
      <w:r w:rsidR="00E74560">
        <w:rPr>
          <w:rFonts w:ascii="Times New Roman CYR" w:hAnsi="Times New Roman CYR" w:cs="Times New Roman CYR"/>
          <w:sz w:val="28"/>
          <w:szCs w:val="28"/>
        </w:rPr>
        <w:t xml:space="preserve"> Собрания Чагодощенского  муниципального округа от 22.12.2022 №68 </w:t>
      </w:r>
      <w:r w:rsidR="00E74560" w:rsidRPr="007445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4560"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и дополнений в решение Совета сельского поселения </w:t>
      </w:r>
      <w:proofErr w:type="spellStart"/>
      <w:r w:rsidR="00E74560">
        <w:rPr>
          <w:rFonts w:ascii="Times New Roman CYR" w:hAnsi="Times New Roman CYR" w:cs="Times New Roman CYR"/>
          <w:color w:val="000000"/>
          <w:sz w:val="28"/>
          <w:szCs w:val="28"/>
        </w:rPr>
        <w:t>Белокрестское</w:t>
      </w:r>
      <w:proofErr w:type="spellEnd"/>
      <w:r w:rsidR="00E74560">
        <w:rPr>
          <w:rFonts w:ascii="Times New Roman CYR" w:hAnsi="Times New Roman CYR" w:cs="Times New Roman CYR"/>
          <w:color w:val="000000"/>
          <w:sz w:val="28"/>
          <w:szCs w:val="28"/>
        </w:rPr>
        <w:t xml:space="preserve">  от 24.12.2021 № 56</w:t>
      </w:r>
      <w:r w:rsidR="00E74560" w:rsidRPr="004713E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44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расхождений не установлено.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 кассового исполнения бюджета, отраженные в бухгалтерской отчетности, не превышают плановые показатели, утвержденные решением о бюджете поселения и сводной бюджетной росписью на отчетный финансовый год.</w:t>
      </w:r>
    </w:p>
    <w:p w:rsidR="0033267D" w:rsidRDefault="00D211B7" w:rsidP="0033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r w:rsidR="007445F1" w:rsidRPr="00844965"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="007445F1" w:rsidRPr="00844965">
        <w:rPr>
          <w:rFonts w:ascii="Times New Roman" w:hAnsi="Times New Roman" w:cs="Times New Roman"/>
          <w:sz w:val="28"/>
          <w:szCs w:val="28"/>
        </w:rPr>
        <w:t>«</w:t>
      </w:r>
      <w:r w:rsidR="007445F1" w:rsidRPr="00844965"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="007445F1" w:rsidRPr="00844965">
        <w:rPr>
          <w:rFonts w:ascii="Times New Roman" w:hAnsi="Times New Roman" w:cs="Times New Roman"/>
          <w:sz w:val="28"/>
          <w:szCs w:val="28"/>
        </w:rPr>
        <w:t xml:space="preserve">» </w:t>
      </w:r>
      <w:r w:rsidR="007445F1" w:rsidRPr="00844965">
        <w:rPr>
          <w:rFonts w:ascii="Times New Roman CYR" w:hAnsi="Times New Roman CYR" w:cs="Times New Roman CYR"/>
          <w:sz w:val="28"/>
          <w:szCs w:val="28"/>
        </w:rPr>
        <w:t xml:space="preserve">администрацией поселения бюджетные обязательства в сумме </w:t>
      </w:r>
      <w:r w:rsidR="00844965" w:rsidRPr="00844965">
        <w:rPr>
          <w:rFonts w:ascii="Times New Roman CYR" w:hAnsi="Times New Roman CYR" w:cs="Times New Roman CYR"/>
          <w:sz w:val="28"/>
          <w:szCs w:val="28"/>
        </w:rPr>
        <w:t>30381,3</w:t>
      </w:r>
      <w:r w:rsidR="007445F1" w:rsidRPr="00844965">
        <w:rPr>
          <w:rFonts w:ascii="Times New Roman CYR" w:hAnsi="Times New Roman CYR" w:cs="Times New Roman CYR"/>
          <w:sz w:val="28"/>
          <w:szCs w:val="28"/>
        </w:rPr>
        <w:t xml:space="preserve"> тыс. рублей приняты в пределах, утвержденных на 202</w:t>
      </w:r>
      <w:r w:rsidR="00E74560" w:rsidRPr="00844965">
        <w:rPr>
          <w:rFonts w:ascii="Times New Roman CYR" w:hAnsi="Times New Roman CYR" w:cs="Times New Roman CYR"/>
          <w:sz w:val="28"/>
          <w:szCs w:val="28"/>
        </w:rPr>
        <w:t>2</w:t>
      </w:r>
      <w:r w:rsidR="007445F1" w:rsidRPr="00844965">
        <w:rPr>
          <w:rFonts w:ascii="Times New Roman CYR" w:hAnsi="Times New Roman CYR" w:cs="Times New Roman CYR"/>
          <w:sz w:val="28"/>
          <w:szCs w:val="28"/>
        </w:rPr>
        <w:t xml:space="preserve"> год лимитов бюджетных обязательств (</w:t>
      </w:r>
      <w:r w:rsidR="00844965" w:rsidRPr="00844965">
        <w:rPr>
          <w:rFonts w:ascii="Times New Roman CYR" w:hAnsi="Times New Roman CYR" w:cs="Times New Roman CYR"/>
          <w:sz w:val="28"/>
          <w:szCs w:val="28"/>
        </w:rPr>
        <w:t>30412,2</w:t>
      </w:r>
      <w:r w:rsidR="007445F1" w:rsidRPr="00844965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33267D" w:rsidRPr="00844965">
        <w:rPr>
          <w:rFonts w:ascii="Times New Roman CYR" w:hAnsi="Times New Roman CYR" w:cs="Times New Roman CYR"/>
          <w:sz w:val="28"/>
          <w:szCs w:val="28"/>
        </w:rPr>
        <w:t>) исполнение 30376,5 тыс</w:t>
      </w:r>
      <w:proofErr w:type="gramStart"/>
      <w:r w:rsidR="0033267D" w:rsidRPr="00844965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33267D" w:rsidRPr="00844965">
        <w:rPr>
          <w:rFonts w:ascii="Times New Roman CYR" w:hAnsi="Times New Roman CYR" w:cs="Times New Roman CYR"/>
          <w:sz w:val="28"/>
          <w:szCs w:val="28"/>
        </w:rPr>
        <w:t>ублей. Сумма неисполненных  бюджетные  обязательства</w:t>
      </w:r>
      <w:r w:rsidR="0033267D" w:rsidRPr="00076236">
        <w:rPr>
          <w:rFonts w:ascii="Times New Roman CYR" w:hAnsi="Times New Roman CYR" w:cs="Times New Roman CYR"/>
          <w:sz w:val="28"/>
          <w:szCs w:val="28"/>
        </w:rPr>
        <w:t xml:space="preserve">  составила </w:t>
      </w:r>
      <w:r w:rsidR="0033267D">
        <w:rPr>
          <w:rFonts w:ascii="Times New Roman CYR" w:hAnsi="Times New Roman CYR" w:cs="Times New Roman CYR"/>
          <w:sz w:val="28"/>
          <w:szCs w:val="28"/>
        </w:rPr>
        <w:t>4,8</w:t>
      </w:r>
      <w:r w:rsidR="0033267D" w:rsidRPr="00076236">
        <w:rPr>
          <w:rFonts w:ascii="Times New Roman CYR" w:hAnsi="Times New Roman CYR" w:cs="Times New Roman CYR"/>
          <w:sz w:val="28"/>
          <w:szCs w:val="28"/>
        </w:rPr>
        <w:t xml:space="preserve"> тыс. рублей (</w:t>
      </w:r>
      <w:proofErr w:type="gramStart"/>
      <w:r w:rsidR="0033267D" w:rsidRPr="00076236">
        <w:rPr>
          <w:rFonts w:ascii="Times New Roman CYR" w:hAnsi="Times New Roman CYR" w:cs="Times New Roman CYR"/>
          <w:sz w:val="28"/>
          <w:szCs w:val="28"/>
        </w:rPr>
        <w:t>обязательства</w:t>
      </w:r>
      <w:proofErr w:type="gramEnd"/>
      <w:r w:rsidR="0033267D" w:rsidRPr="00076236">
        <w:rPr>
          <w:rFonts w:ascii="Times New Roman CYR" w:hAnsi="Times New Roman CYR" w:cs="Times New Roman CYR"/>
          <w:sz w:val="28"/>
          <w:szCs w:val="28"/>
        </w:rPr>
        <w:t xml:space="preserve"> предусмотренные на исполнение оплаты текущих платежей за декабрь 2022 года),  что подтверждено формой ф.0503175.</w:t>
      </w:r>
      <w:r w:rsidR="0033267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E4720" w:rsidRDefault="001E4720" w:rsidP="001E4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Pr="00076236">
        <w:rPr>
          <w:rFonts w:ascii="Times New Roman" w:hAnsi="Times New Roman" w:cs="Times New Roman"/>
          <w:sz w:val="28"/>
          <w:szCs w:val="28"/>
        </w:rPr>
        <w:t>«</w:t>
      </w:r>
      <w:r w:rsidRPr="00076236"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Pr="00076236">
        <w:rPr>
          <w:rFonts w:ascii="Times New Roman" w:hAnsi="Times New Roman" w:cs="Times New Roman"/>
          <w:sz w:val="28"/>
          <w:szCs w:val="28"/>
        </w:rPr>
        <w:t xml:space="preserve">» </w:t>
      </w:r>
      <w:r w:rsidRPr="00076236">
        <w:rPr>
          <w:rFonts w:ascii="Times New Roman CYR" w:hAnsi="Times New Roman CYR" w:cs="Times New Roman CYR"/>
          <w:sz w:val="28"/>
          <w:szCs w:val="28"/>
        </w:rPr>
        <w:t>администрацией поселения бюджетные обязательства в сумме 12989,9 тыс. рублей приняты в пределах, утвержденных на 2022 год лимитов бюджетных обязательств (12989,9 тыс. рублей), исполнение 12939,1 тыс</w:t>
      </w:r>
      <w:proofErr w:type="gramStart"/>
      <w:r w:rsidRPr="00076236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076236">
        <w:rPr>
          <w:rFonts w:ascii="Times New Roman CYR" w:hAnsi="Times New Roman CYR" w:cs="Times New Roman CYR"/>
          <w:sz w:val="28"/>
          <w:szCs w:val="28"/>
        </w:rPr>
        <w:t>ублей. Сумма неисполненных  бюджетные  обязательства  с применением конкурентного способа составила 42,7 тыс. рублей (</w:t>
      </w:r>
      <w:proofErr w:type="gramStart"/>
      <w:r w:rsidRPr="00076236">
        <w:rPr>
          <w:rFonts w:ascii="Times New Roman CYR" w:hAnsi="Times New Roman CYR" w:cs="Times New Roman CYR"/>
          <w:sz w:val="28"/>
          <w:szCs w:val="28"/>
        </w:rPr>
        <w:t>обязательства</w:t>
      </w:r>
      <w:proofErr w:type="gramEnd"/>
      <w:r w:rsidRPr="00076236">
        <w:rPr>
          <w:rFonts w:ascii="Times New Roman CYR" w:hAnsi="Times New Roman CYR" w:cs="Times New Roman CYR"/>
          <w:sz w:val="28"/>
          <w:szCs w:val="28"/>
        </w:rPr>
        <w:t xml:space="preserve"> предусмотренные на исполнение оплаты текущих платежей за декабрь 2022 года),  что подтверждено формой ф.0503175.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445F1" w:rsidRPr="005D27F6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36346">
        <w:rPr>
          <w:rFonts w:ascii="Times New Roman CYR" w:hAnsi="Times New Roman CYR" w:cs="Times New Roman CYR"/>
          <w:sz w:val="28"/>
          <w:szCs w:val="28"/>
        </w:rPr>
        <w:t>Текстовая  информация,  содержащаяся  в 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 0503160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 структуре и содержанию соответствует требованиям, </w:t>
      </w:r>
      <w:r w:rsidRPr="005D27F6">
        <w:rPr>
          <w:rFonts w:ascii="Times New Roman CYR" w:hAnsi="Times New Roman CYR" w:cs="Times New Roman CYR"/>
          <w:sz w:val="28"/>
          <w:szCs w:val="28"/>
        </w:rPr>
        <w:t>содержащимся в пункте 152 Инструкции № 191н.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27F6">
        <w:rPr>
          <w:rFonts w:ascii="Times New Roman CYR" w:hAnsi="Times New Roman CYR" w:cs="Times New Roman CYR"/>
          <w:color w:val="000000"/>
          <w:sz w:val="28"/>
          <w:szCs w:val="28"/>
        </w:rPr>
        <w:t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составе Пояснительной записки представлена </w:t>
      </w:r>
      <w:hyperlink w:anchor="Par874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таблица № 3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Сведения об исполнении текстовых статей закона (решения) о бюджете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которая содержит информацию об исполнении текстовых статей решения о бюджете муниципального образования. Согласно данным таблицы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сполнение по доходам сельского поселения выполнено на </w:t>
      </w:r>
      <w:r w:rsidR="00FE3F33">
        <w:rPr>
          <w:rFonts w:ascii="Times New Roman CYR" w:hAnsi="Times New Roman CYR" w:cs="Times New Roman CYR"/>
          <w:color w:val="000000"/>
          <w:sz w:val="28"/>
          <w:szCs w:val="28"/>
        </w:rPr>
        <w:t>99,</w:t>
      </w:r>
      <w:r w:rsidR="00A85C36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433E8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в сумме </w:t>
      </w:r>
      <w:r w:rsidR="00A85C36">
        <w:rPr>
          <w:rFonts w:ascii="Times New Roman CYR" w:hAnsi="Times New Roman CYR" w:cs="Times New Roman CYR"/>
          <w:color w:val="000000"/>
          <w:sz w:val="28"/>
          <w:szCs w:val="28"/>
        </w:rPr>
        <w:t>29884,7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по расходам бюджета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85C36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="00FE3F33">
        <w:rPr>
          <w:rFonts w:ascii="Times New Roman CYR" w:hAnsi="Times New Roman CYR" w:cs="Times New Roman CYR"/>
          <w:sz w:val="28"/>
          <w:szCs w:val="28"/>
        </w:rPr>
        <w:t>9,</w:t>
      </w:r>
      <w:r w:rsidR="00A85C3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% в сумме </w:t>
      </w:r>
      <w:r w:rsidR="00A85C36">
        <w:rPr>
          <w:rFonts w:ascii="Times New Roman CYR" w:hAnsi="Times New Roman CYR" w:cs="Times New Roman CYR"/>
          <w:sz w:val="28"/>
          <w:szCs w:val="28"/>
        </w:rPr>
        <w:t>30376,5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Профицит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бюджета составил </w:t>
      </w:r>
      <w:r w:rsidR="00A85C36">
        <w:rPr>
          <w:rFonts w:ascii="Times New Roman CYR" w:hAnsi="Times New Roman CYR" w:cs="Times New Roman CYR"/>
          <w:sz w:val="28"/>
          <w:szCs w:val="28"/>
        </w:rPr>
        <w:t>491,8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вышеуказанных форм, по состоянию на 01.01.202</w:t>
      </w:r>
      <w:r w:rsidR="00A85C3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составляла </w:t>
      </w:r>
      <w:r w:rsidR="00A85C36">
        <w:rPr>
          <w:rFonts w:ascii="Times New Roman CYR" w:hAnsi="Times New Roman CYR" w:cs="Times New Roman CYR"/>
          <w:sz w:val="28"/>
          <w:szCs w:val="28"/>
        </w:rPr>
        <w:t>17138,0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основных средств – </w:t>
      </w:r>
      <w:r w:rsidR="00A85C36">
        <w:rPr>
          <w:rFonts w:ascii="Times New Roman CYR" w:hAnsi="Times New Roman CYR" w:cs="Times New Roman CYR"/>
          <w:sz w:val="28"/>
          <w:szCs w:val="28"/>
        </w:rPr>
        <w:t>1207,1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поступило основных средств на сумму </w:t>
      </w:r>
      <w:r w:rsidR="00DA001D">
        <w:rPr>
          <w:rFonts w:ascii="Times New Roman CYR" w:hAnsi="Times New Roman CYR" w:cs="Times New Roman CYR"/>
          <w:sz w:val="28"/>
          <w:szCs w:val="28"/>
        </w:rPr>
        <w:t>41,8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выбыло основных средств на сумму </w:t>
      </w:r>
      <w:r w:rsidR="00DA001D">
        <w:rPr>
          <w:rFonts w:ascii="Times New Roman CYR" w:hAnsi="Times New Roman CYR" w:cs="Times New Roman CYR"/>
          <w:sz w:val="28"/>
          <w:szCs w:val="28"/>
        </w:rPr>
        <w:t>5897,1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DA001D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балансовая стоимость основных средств составляет </w:t>
      </w:r>
      <w:r w:rsidR="00DA001D">
        <w:rPr>
          <w:rFonts w:ascii="Times New Roman CYR" w:hAnsi="Times New Roman CYR" w:cs="Times New Roman CYR"/>
          <w:sz w:val="28"/>
          <w:szCs w:val="28"/>
        </w:rPr>
        <w:t>13456,2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– </w:t>
      </w:r>
      <w:r w:rsidR="00DA001D">
        <w:rPr>
          <w:rFonts w:ascii="Times New Roman CYR" w:hAnsi="Times New Roman CYR" w:cs="Times New Roman CYR"/>
          <w:sz w:val="28"/>
          <w:szCs w:val="28"/>
        </w:rPr>
        <w:t>1604,4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445F1" w:rsidRPr="005D27F6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D27F6">
        <w:rPr>
          <w:rFonts w:ascii="Times New Roman CYR" w:hAnsi="Times New Roman CYR" w:cs="Times New Roman CYR"/>
          <w:sz w:val="28"/>
          <w:szCs w:val="28"/>
        </w:rPr>
        <w:lastRenderedPageBreak/>
        <w:t xml:space="preserve">За отчетный период поступило материальных запасов на сумму </w:t>
      </w:r>
      <w:r w:rsidR="00DA001D">
        <w:rPr>
          <w:rFonts w:ascii="Times New Roman CYR" w:hAnsi="Times New Roman CYR" w:cs="Times New Roman CYR"/>
          <w:sz w:val="28"/>
          <w:szCs w:val="28"/>
        </w:rPr>
        <w:t>938,7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рублей, выбыло — на </w:t>
      </w:r>
      <w:r w:rsidR="00DA001D">
        <w:rPr>
          <w:rFonts w:ascii="Times New Roman CYR" w:hAnsi="Times New Roman CYR" w:cs="Times New Roman CYR"/>
          <w:sz w:val="28"/>
          <w:szCs w:val="28"/>
        </w:rPr>
        <w:t>960,1</w:t>
      </w:r>
      <w:r w:rsidR="00DC5D5E">
        <w:rPr>
          <w:rFonts w:ascii="Times New Roman CYR" w:hAnsi="Times New Roman CYR" w:cs="Times New Roman CYR"/>
          <w:sz w:val="28"/>
          <w:szCs w:val="28"/>
        </w:rPr>
        <w:t>5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 и на 01.01.202</w:t>
      </w:r>
      <w:r w:rsidR="00DA001D">
        <w:rPr>
          <w:rFonts w:ascii="Times New Roman CYR" w:hAnsi="Times New Roman CYR" w:cs="Times New Roman CYR"/>
          <w:sz w:val="28"/>
          <w:szCs w:val="28"/>
        </w:rPr>
        <w:t>3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года стоимость материальных запасов составила </w:t>
      </w:r>
      <w:r w:rsidR="00DA001D">
        <w:rPr>
          <w:rFonts w:ascii="Times New Roman CYR" w:hAnsi="Times New Roman CYR" w:cs="Times New Roman CYR"/>
          <w:sz w:val="28"/>
          <w:szCs w:val="28"/>
        </w:rPr>
        <w:t>60,1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807FFD" w:rsidRPr="005D27F6" w:rsidRDefault="007445F1" w:rsidP="0080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D27F6">
        <w:rPr>
          <w:rFonts w:ascii="Times New Roman CYR" w:hAnsi="Times New Roman CYR" w:cs="Times New Roman CYR"/>
          <w:sz w:val="28"/>
          <w:szCs w:val="28"/>
        </w:rPr>
        <w:t xml:space="preserve">За отчетный период 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поступило </w:t>
      </w:r>
      <w:proofErr w:type="spellStart"/>
      <w:r w:rsidRPr="005D27F6">
        <w:rPr>
          <w:rFonts w:ascii="Times New Roman CYR" w:hAnsi="Times New Roman CYR" w:cs="Times New Roman CYR"/>
          <w:sz w:val="28"/>
          <w:szCs w:val="28"/>
        </w:rPr>
        <w:t>непроизведенных</w:t>
      </w:r>
      <w:proofErr w:type="spellEnd"/>
      <w:r w:rsidRPr="005D27F6">
        <w:rPr>
          <w:rFonts w:ascii="Times New Roman CYR" w:hAnsi="Times New Roman CYR" w:cs="Times New Roman CYR"/>
          <w:sz w:val="28"/>
          <w:szCs w:val="28"/>
        </w:rPr>
        <w:t xml:space="preserve"> активов (земля)</w:t>
      </w:r>
      <w:r w:rsidR="00DA001D">
        <w:rPr>
          <w:rFonts w:ascii="Times New Roman CYR" w:hAnsi="Times New Roman CYR" w:cs="Times New Roman CYR"/>
          <w:sz w:val="28"/>
          <w:szCs w:val="28"/>
        </w:rPr>
        <w:t xml:space="preserve"> не поступало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>, выбы</w:t>
      </w:r>
      <w:r w:rsidR="00DA001D">
        <w:rPr>
          <w:rFonts w:ascii="Times New Roman CYR" w:hAnsi="Times New Roman CYR" w:cs="Times New Roman CYR"/>
          <w:sz w:val="28"/>
          <w:szCs w:val="28"/>
        </w:rPr>
        <w:t>тие составило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 — </w:t>
      </w:r>
      <w:r w:rsidR="00DA001D">
        <w:rPr>
          <w:rFonts w:ascii="Times New Roman CYR" w:hAnsi="Times New Roman CYR" w:cs="Times New Roman CYR"/>
          <w:sz w:val="28"/>
          <w:szCs w:val="28"/>
        </w:rPr>
        <w:t>235,7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>0 тыс. рублей и на 01.01.202</w:t>
      </w:r>
      <w:r w:rsidR="00DA001D">
        <w:rPr>
          <w:rFonts w:ascii="Times New Roman CYR" w:hAnsi="Times New Roman CYR" w:cs="Times New Roman CYR"/>
          <w:sz w:val="28"/>
          <w:szCs w:val="28"/>
        </w:rPr>
        <w:t>3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 года стоимость </w:t>
      </w:r>
      <w:r w:rsidR="00DC5D5E">
        <w:rPr>
          <w:rFonts w:ascii="Times New Roman CYR" w:hAnsi="Times New Roman CYR" w:cs="Times New Roman CYR"/>
          <w:sz w:val="28"/>
          <w:szCs w:val="28"/>
        </w:rPr>
        <w:t xml:space="preserve">непроизводственных активов 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DA001D">
        <w:rPr>
          <w:rFonts w:ascii="Times New Roman CYR" w:hAnsi="Times New Roman CYR" w:cs="Times New Roman CYR"/>
          <w:sz w:val="28"/>
          <w:szCs w:val="28"/>
        </w:rPr>
        <w:t>1222,2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61473A" w:rsidRPr="00BE405D" w:rsidRDefault="007445F1" w:rsidP="00614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1473A"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61473A" w:rsidRPr="0061473A">
        <w:rPr>
          <w:rFonts w:ascii="Times New Roman CYR" w:hAnsi="Times New Roman CYR" w:cs="Times New Roman CYR"/>
          <w:sz w:val="28"/>
          <w:szCs w:val="28"/>
        </w:rPr>
        <w:t>2</w:t>
      </w:r>
      <w:r w:rsidRPr="0061473A">
        <w:rPr>
          <w:rFonts w:ascii="Times New Roman CYR" w:hAnsi="Times New Roman CYR" w:cs="Times New Roman CYR"/>
          <w:sz w:val="28"/>
          <w:szCs w:val="28"/>
        </w:rPr>
        <w:t xml:space="preserve"> года нефинансовые активы имущества казны (остаточная стоимость) составляли </w:t>
      </w:r>
      <w:r w:rsidR="0061473A" w:rsidRPr="0061473A">
        <w:rPr>
          <w:rFonts w:ascii="Times New Roman CYR" w:hAnsi="Times New Roman CYR" w:cs="Times New Roman CYR"/>
          <w:sz w:val="28"/>
          <w:szCs w:val="28"/>
        </w:rPr>
        <w:t>57466,0</w:t>
      </w:r>
      <w:r w:rsidRPr="0061473A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r w:rsidR="0061473A" w:rsidRPr="0061473A">
        <w:rPr>
          <w:rFonts w:ascii="Times New Roman CYR" w:hAnsi="Times New Roman CYR" w:cs="Times New Roman CYR"/>
          <w:sz w:val="28"/>
          <w:szCs w:val="28"/>
        </w:rPr>
        <w:t>Остаточная стоимость имущества казны по состоянию на 01.01.2023 года составляет</w:t>
      </w:r>
      <w:r w:rsidR="0061473A" w:rsidRPr="004B01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473A">
        <w:rPr>
          <w:rFonts w:ascii="Times New Roman CYR" w:hAnsi="Times New Roman CYR" w:cs="Times New Roman CYR"/>
          <w:sz w:val="28"/>
          <w:szCs w:val="28"/>
        </w:rPr>
        <w:t>0,0</w:t>
      </w:r>
      <w:r w:rsidR="0061473A" w:rsidRPr="004B0148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61473A" w:rsidRPr="004B0148">
        <w:rPr>
          <w:rFonts w:ascii="Times New Roman CYR" w:hAnsi="Times New Roman CYR" w:cs="Times New Roman CYR"/>
          <w:sz w:val="24"/>
          <w:szCs w:val="24"/>
        </w:rPr>
        <w:t>.</w:t>
      </w:r>
      <w:r w:rsidR="006147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473A" w:rsidRPr="00BE405D">
        <w:rPr>
          <w:rFonts w:ascii="Times New Roman CYR" w:hAnsi="Times New Roman CYR" w:cs="Times New Roman CYR"/>
          <w:sz w:val="28"/>
          <w:szCs w:val="28"/>
        </w:rPr>
        <w:t xml:space="preserve">В связи с реорганизацией </w:t>
      </w:r>
      <w:proofErr w:type="spellStart"/>
      <w:r w:rsidR="00E217BF">
        <w:rPr>
          <w:rFonts w:ascii="Times New Roman CYR" w:hAnsi="Times New Roman CYR" w:cs="Times New Roman CYR"/>
          <w:sz w:val="28"/>
          <w:szCs w:val="28"/>
        </w:rPr>
        <w:t>Белокрестского</w:t>
      </w:r>
      <w:proofErr w:type="spellEnd"/>
      <w:r w:rsidR="00E217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473A" w:rsidRPr="00BE405D">
        <w:rPr>
          <w:rFonts w:ascii="Times New Roman CYR" w:hAnsi="Times New Roman CYR" w:cs="Times New Roman CYR"/>
          <w:sz w:val="28"/>
          <w:szCs w:val="28"/>
        </w:rPr>
        <w:t>поселения</w:t>
      </w:r>
      <w:r w:rsidR="0061473A">
        <w:rPr>
          <w:rFonts w:ascii="Times New Roman CYR" w:hAnsi="Times New Roman CYR" w:cs="Times New Roman CYR"/>
          <w:sz w:val="28"/>
          <w:szCs w:val="28"/>
        </w:rPr>
        <w:t xml:space="preserve">, имущество казны передано в комитет по управлению имуществом на основании </w:t>
      </w:r>
      <w:r w:rsidR="0061473A" w:rsidRPr="00BE405D">
        <w:rPr>
          <w:rFonts w:ascii="Times New Roman CYR" w:hAnsi="Times New Roman CYR" w:cs="Times New Roman CYR"/>
          <w:sz w:val="28"/>
          <w:szCs w:val="28"/>
        </w:rPr>
        <w:t xml:space="preserve"> Постановление комитета по управлению муниципальным имуществом   Чагодощенского муниципального района от  03.11.2022г.№ 424  «Об утверждении формы передаточного акта и передачи муниципального имущества  поселений».</w:t>
      </w:r>
    </w:p>
    <w:p w:rsidR="007445F1" w:rsidRDefault="007445F1" w:rsidP="00614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 на общую сумму </w:t>
      </w:r>
      <w:r w:rsidR="00E44ACC">
        <w:rPr>
          <w:rFonts w:ascii="Times New Roman CYR" w:hAnsi="Times New Roman CYR" w:cs="Times New Roman CYR"/>
          <w:sz w:val="28"/>
          <w:szCs w:val="28"/>
        </w:rPr>
        <w:t>14601,8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="00C46243">
        <w:rPr>
          <w:rFonts w:ascii="Times New Roman CYR" w:hAnsi="Times New Roman CYR" w:cs="Times New Roman CYR"/>
          <w:sz w:val="28"/>
          <w:szCs w:val="28"/>
        </w:rPr>
        <w:t>МБУ «</w:t>
      </w:r>
      <w:proofErr w:type="spellStart"/>
      <w:r w:rsidR="00E44ACC">
        <w:rPr>
          <w:rFonts w:ascii="Times New Roman CYR" w:hAnsi="Times New Roman CYR" w:cs="Times New Roman CYR"/>
          <w:sz w:val="28"/>
          <w:szCs w:val="28"/>
        </w:rPr>
        <w:t>Белокрестский</w:t>
      </w:r>
      <w:proofErr w:type="spellEnd"/>
      <w:r w:rsidR="00E44ACC">
        <w:rPr>
          <w:rFonts w:ascii="Times New Roman CYR" w:hAnsi="Times New Roman CYR" w:cs="Times New Roman CYR"/>
          <w:sz w:val="28"/>
          <w:szCs w:val="28"/>
        </w:rPr>
        <w:t xml:space="preserve"> СКО</w:t>
      </w:r>
      <w:r w:rsidR="00C46243">
        <w:rPr>
          <w:rFonts w:ascii="Times New Roman CYR" w:hAnsi="Times New Roman CYR" w:cs="Times New Roman CYR"/>
          <w:sz w:val="28"/>
          <w:szCs w:val="28"/>
        </w:rPr>
        <w:t>»</w:t>
      </w:r>
      <w:r w:rsidRPr="007445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которого является сельское поселение</w:t>
      </w:r>
      <w:r w:rsidR="00E44AC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44ACC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 Итоговые суммы финансовых вложений формы 0503171 соответствуют данным баланса (ф. 0503130).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AC374B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r w:rsidRPr="00AC374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C374B">
        <w:rPr>
          <w:rFonts w:ascii="Times New Roman CYR" w:hAnsi="Times New Roman CYR" w:cs="Times New Roman CYR"/>
          <w:b/>
          <w:bCs/>
          <w:sz w:val="28"/>
          <w:szCs w:val="28"/>
        </w:rPr>
        <w:t>Результаты  проверки  и  анализа  исполнения  бюджета сельского поселения</w:t>
      </w:r>
      <w:r w:rsidR="00E44ACC" w:rsidRPr="00AC374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E44ACC" w:rsidRPr="00AC374B">
        <w:rPr>
          <w:rFonts w:ascii="Times New Roman CYR" w:hAnsi="Times New Roman CYR" w:cs="Times New Roman CYR"/>
          <w:b/>
          <w:bCs/>
          <w:sz w:val="28"/>
          <w:szCs w:val="28"/>
        </w:rPr>
        <w:t>Белокрестское</w:t>
      </w:r>
      <w:proofErr w:type="spellEnd"/>
      <w:r w:rsidRPr="00AC374B">
        <w:rPr>
          <w:rFonts w:ascii="Times New Roman CYR" w:hAnsi="Times New Roman CYR" w:cs="Times New Roman CYR"/>
          <w:b/>
          <w:bCs/>
          <w:sz w:val="28"/>
          <w:szCs w:val="28"/>
        </w:rPr>
        <w:t xml:space="preserve">  Администрацией поселения</w:t>
      </w:r>
    </w:p>
    <w:p w:rsidR="007445F1" w:rsidRPr="00AC374B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C374B">
        <w:rPr>
          <w:rFonts w:ascii="Times New Roman" w:hAnsi="Times New Roman" w:cs="Times New Roman"/>
          <w:i/>
          <w:iCs/>
          <w:sz w:val="28"/>
          <w:szCs w:val="28"/>
        </w:rPr>
        <w:t xml:space="preserve">3.1. </w:t>
      </w:r>
      <w:r w:rsidRPr="00AC374B"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и анализа исполнения бюджета сельского поселения </w:t>
      </w:r>
      <w:proofErr w:type="spellStart"/>
      <w:r w:rsidR="00E44ACC" w:rsidRPr="00AC374B">
        <w:rPr>
          <w:rFonts w:ascii="Times New Roman CYR" w:hAnsi="Times New Roman CYR" w:cs="Times New Roman CYR"/>
          <w:i/>
          <w:iCs/>
          <w:sz w:val="28"/>
          <w:szCs w:val="28"/>
        </w:rPr>
        <w:t>Белокрестское</w:t>
      </w:r>
      <w:proofErr w:type="spellEnd"/>
      <w:r w:rsidRPr="00AC374B">
        <w:rPr>
          <w:rFonts w:ascii="Times New Roman CYR" w:hAnsi="Times New Roman CYR" w:cs="Times New Roman CYR"/>
          <w:i/>
          <w:iCs/>
          <w:sz w:val="28"/>
          <w:szCs w:val="28"/>
        </w:rPr>
        <w:t xml:space="preserve"> по доходам</w:t>
      </w:r>
    </w:p>
    <w:p w:rsidR="007445F1" w:rsidRDefault="00E469F8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C374B">
        <w:rPr>
          <w:rFonts w:ascii="Times New Roman CYR" w:hAnsi="Times New Roman CYR" w:cs="Times New Roman CYR"/>
          <w:sz w:val="28"/>
          <w:szCs w:val="28"/>
        </w:rPr>
        <w:t>В соответствии с Перечнем главных администраторов доходов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Pr="00076236">
        <w:rPr>
          <w:rFonts w:ascii="Times New Roman CYR" w:hAnsi="Times New Roman CYR" w:cs="Times New Roman CYR"/>
          <w:sz w:val="28"/>
          <w:szCs w:val="28"/>
        </w:rPr>
        <w:t>, утвержденным Постановлением администрации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Pr="00076236">
        <w:rPr>
          <w:rFonts w:ascii="Times New Roman CYR" w:hAnsi="Times New Roman CYR" w:cs="Times New Roman CYR"/>
          <w:sz w:val="28"/>
          <w:szCs w:val="28"/>
        </w:rPr>
        <w:t xml:space="preserve"> № 1</w:t>
      </w:r>
      <w:r>
        <w:rPr>
          <w:rFonts w:ascii="Times New Roman CYR" w:hAnsi="Times New Roman CYR" w:cs="Times New Roman CYR"/>
          <w:sz w:val="28"/>
          <w:szCs w:val="28"/>
        </w:rPr>
        <w:t>68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26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.11.2021г. Администрация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Pr="00076236">
        <w:rPr>
          <w:rFonts w:ascii="Times New Roman CYR" w:hAnsi="Times New Roman CYR" w:cs="Times New Roman CYR"/>
          <w:sz w:val="28"/>
          <w:szCs w:val="28"/>
        </w:rPr>
        <w:t xml:space="preserve"> является администратором доходов, поступающих в бюджет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коду администратора </w:t>
      </w:r>
      <w:r w:rsidR="00E44ACC">
        <w:rPr>
          <w:rFonts w:ascii="Times New Roman CYR" w:hAnsi="Times New Roman CYR" w:cs="Times New Roman CYR"/>
          <w:sz w:val="28"/>
          <w:szCs w:val="28"/>
        </w:rPr>
        <w:t>115</w:t>
      </w:r>
      <w:r w:rsidR="007445F1"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822A88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Первоначальной редакцией решения о бюджете объем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администрируемых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>доходов на 202</w:t>
      </w:r>
      <w:r w:rsidR="00E469F8">
        <w:rPr>
          <w:rFonts w:ascii="Times New Roman CYR" w:hAnsi="Times New Roman CYR" w:cs="Times New Roman CYR"/>
          <w:sz w:val="28"/>
          <w:szCs w:val="28"/>
        </w:rPr>
        <w:t>2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год установлен в общей сумме </w:t>
      </w:r>
      <w:r w:rsidR="00E469F8">
        <w:rPr>
          <w:rFonts w:ascii="Times New Roman CYR" w:hAnsi="Times New Roman CYR" w:cs="Times New Roman CYR"/>
          <w:sz w:val="28"/>
          <w:szCs w:val="28"/>
        </w:rPr>
        <w:t>26248,1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в том числе по налоговым и неналоговым доходам – </w:t>
      </w:r>
      <w:r w:rsidR="00E469F8">
        <w:rPr>
          <w:rFonts w:ascii="Times New Roman CYR" w:hAnsi="Times New Roman CYR" w:cs="Times New Roman CYR"/>
          <w:sz w:val="28"/>
          <w:szCs w:val="28"/>
        </w:rPr>
        <w:t>1914,0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 по безвозмездным поступлениям – </w:t>
      </w:r>
      <w:r w:rsidR="00E469F8">
        <w:rPr>
          <w:rFonts w:ascii="Times New Roman CYR" w:hAnsi="Times New Roman CYR" w:cs="Times New Roman CYR"/>
          <w:color w:val="000000"/>
          <w:sz w:val="28"/>
          <w:szCs w:val="28"/>
        </w:rPr>
        <w:t>24334,1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22A88"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объем доходов, предусмотренных администрации муниципального образования, увеличился и в окончательном варианте составил </w:t>
      </w:r>
      <w:r w:rsidR="009A0FCD">
        <w:rPr>
          <w:rFonts w:ascii="Times New Roman CYR" w:hAnsi="Times New Roman CYR" w:cs="Times New Roman CYR"/>
          <w:sz w:val="28"/>
          <w:szCs w:val="28"/>
        </w:rPr>
        <w:t>29901,4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в том числе налоговые и неналоговые доходы – </w:t>
      </w:r>
      <w:r w:rsidR="009A0FCD">
        <w:rPr>
          <w:rFonts w:ascii="Times New Roman CYR" w:hAnsi="Times New Roman CYR" w:cs="Times New Roman CYR"/>
          <w:sz w:val="28"/>
          <w:szCs w:val="28"/>
        </w:rPr>
        <w:t>1605,7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рублей, безвозмездные поступления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9A0FCD">
        <w:rPr>
          <w:rFonts w:ascii="Times New Roman CYR" w:hAnsi="Times New Roman CYR" w:cs="Times New Roman CYR"/>
          <w:sz w:val="28"/>
          <w:szCs w:val="28"/>
        </w:rPr>
        <w:t>28295,1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рублей. В течение отчетного периода плановые назначения по </w:t>
      </w:r>
      <w:proofErr w:type="spellStart"/>
      <w:r w:rsidRPr="00822A88">
        <w:rPr>
          <w:rFonts w:ascii="Times New Roman CYR" w:hAnsi="Times New Roman CYR" w:cs="Times New Roman CYR"/>
          <w:sz w:val="28"/>
          <w:szCs w:val="28"/>
        </w:rPr>
        <w:t>администрируемым</w:t>
      </w:r>
      <w:proofErr w:type="spellEnd"/>
      <w:r w:rsidRPr="00822A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lastRenderedPageBreak/>
        <w:t xml:space="preserve">Администрацией поселения доходам увеличились на </w:t>
      </w:r>
      <w:r w:rsidR="009A0FCD">
        <w:rPr>
          <w:rFonts w:ascii="Times New Roman CYR" w:hAnsi="Times New Roman CYR" w:cs="Times New Roman CYR"/>
          <w:sz w:val="28"/>
          <w:szCs w:val="28"/>
        </w:rPr>
        <w:t>16</w:t>
      </w:r>
      <w:r w:rsidR="006C3175">
        <w:rPr>
          <w:rFonts w:ascii="Times New Roman CYR" w:hAnsi="Times New Roman CYR" w:cs="Times New Roman CYR"/>
          <w:sz w:val="28"/>
          <w:szCs w:val="28"/>
        </w:rPr>
        <w:t>,</w:t>
      </w:r>
      <w:r w:rsidR="009A0FCD">
        <w:rPr>
          <w:rFonts w:ascii="Times New Roman CYR" w:hAnsi="Times New Roman CYR" w:cs="Times New Roman CYR"/>
          <w:sz w:val="28"/>
          <w:szCs w:val="28"/>
        </w:rPr>
        <w:t>3</w:t>
      </w:r>
      <w:r w:rsidRPr="00822A88">
        <w:rPr>
          <w:rFonts w:ascii="Times New Roman CYR" w:hAnsi="Times New Roman CYR" w:cs="Times New Roman CYR"/>
          <w:sz w:val="28"/>
          <w:szCs w:val="28"/>
        </w:rPr>
        <w:t>% от первоначальных утвержденных назначений.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показателям форм 0503127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0503164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об исполнении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утвержденные бюджетные назначения по доходам,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администрируемым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администрацией, исполнены на </w:t>
      </w:r>
      <w:r w:rsidR="009A0FCD">
        <w:rPr>
          <w:rFonts w:ascii="Times New Roman CYR" w:hAnsi="Times New Roman CYR" w:cs="Times New Roman CYR"/>
          <w:sz w:val="28"/>
          <w:szCs w:val="28"/>
        </w:rPr>
        <w:t>99,9</w:t>
      </w:r>
      <w:r>
        <w:rPr>
          <w:rFonts w:ascii="Times New Roman CYR" w:hAnsi="Times New Roman CYR" w:cs="Times New Roman CYR"/>
          <w:sz w:val="28"/>
          <w:szCs w:val="28"/>
        </w:rPr>
        <w:t xml:space="preserve">% или в сумме </w:t>
      </w:r>
      <w:r w:rsidR="009A0FCD">
        <w:rPr>
          <w:rFonts w:ascii="Times New Roman CYR" w:hAnsi="Times New Roman CYR" w:cs="Times New Roman CYR"/>
          <w:sz w:val="28"/>
          <w:szCs w:val="28"/>
        </w:rPr>
        <w:t>29884,7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 части налоговых, неналоговых доходов плановые показатели исполнены на </w:t>
      </w:r>
      <w:r w:rsidR="009A0FCD">
        <w:rPr>
          <w:rFonts w:ascii="Times New Roman CYR" w:hAnsi="Times New Roman CYR" w:cs="Times New Roman CYR"/>
          <w:sz w:val="28"/>
          <w:szCs w:val="28"/>
        </w:rPr>
        <w:t>99,0</w:t>
      </w:r>
      <w:r>
        <w:rPr>
          <w:rFonts w:ascii="Times New Roman CYR" w:hAnsi="Times New Roman CYR" w:cs="Times New Roman CYR"/>
          <w:sz w:val="28"/>
          <w:szCs w:val="28"/>
        </w:rPr>
        <w:t xml:space="preserve">%, в части безвозмездных поступлений плановые показатели исполнены на </w:t>
      </w:r>
      <w:r w:rsidR="009A0FCD">
        <w:rPr>
          <w:rFonts w:ascii="Times New Roman CYR" w:hAnsi="Times New Roman CYR" w:cs="Times New Roman CYR"/>
          <w:sz w:val="28"/>
          <w:szCs w:val="28"/>
        </w:rPr>
        <w:t>100%.</w:t>
      </w:r>
    </w:p>
    <w:p w:rsidR="00822A88" w:rsidRDefault="00822A88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45F1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3.2.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и анализа исполнения бюджета сельского поселения</w:t>
      </w:r>
      <w:r w:rsidR="006C3175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r w:rsidR="006C3175">
        <w:rPr>
          <w:rFonts w:ascii="Times New Roman CYR" w:hAnsi="Times New Roman CYR" w:cs="Times New Roman CYR"/>
          <w:i/>
          <w:iCs/>
          <w:sz w:val="28"/>
          <w:szCs w:val="28"/>
        </w:rPr>
        <w:t>Белокрестское</w:t>
      </w:r>
      <w:proofErr w:type="spellEnd"/>
      <w:r w:rsidR="006C3175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 расходам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 о бюджете сельского поселения </w:t>
      </w:r>
      <w:proofErr w:type="spellStart"/>
      <w:r w:rsidR="006C3175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="006C31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2A88">
        <w:rPr>
          <w:rFonts w:ascii="Times New Roman CYR" w:hAnsi="Times New Roman CYR" w:cs="Times New Roman CYR"/>
          <w:sz w:val="28"/>
          <w:szCs w:val="28"/>
        </w:rPr>
        <w:t>от 2</w:t>
      </w:r>
      <w:r w:rsidR="005900A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.12.202</w:t>
      </w:r>
      <w:r w:rsidR="005900A7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900A7">
        <w:rPr>
          <w:rFonts w:ascii="Times New Roman CYR" w:hAnsi="Times New Roman CYR" w:cs="Times New Roman CYR"/>
          <w:sz w:val="28"/>
          <w:szCs w:val="28"/>
        </w:rPr>
        <w:t>56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сельского  поселения </w:t>
      </w:r>
      <w:proofErr w:type="spellStart"/>
      <w:r w:rsidR="006C3175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5900A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год и плановый период 202</w:t>
      </w:r>
      <w:r w:rsidR="005900A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-202</w:t>
      </w:r>
      <w:r w:rsidR="005900A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822A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6C31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C3175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как главному  распорядителю  средств  бюджета  сельского поселения</w:t>
      </w:r>
      <w:r w:rsidR="006C3175" w:rsidRPr="006C31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C3175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предусмотрены  бюджетные  ассигнования  на  202</w:t>
      </w:r>
      <w:r w:rsidR="005900A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  в  объеме </w:t>
      </w:r>
      <w:r w:rsidR="005900A7">
        <w:rPr>
          <w:rFonts w:ascii="Times New Roman CYR" w:hAnsi="Times New Roman CYR" w:cs="Times New Roman CYR"/>
          <w:sz w:val="28"/>
          <w:szCs w:val="28"/>
        </w:rPr>
        <w:t>26248,1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 течение 202</w:t>
      </w:r>
      <w:r w:rsidR="005900A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общий объем бюджетных ассигнований </w:t>
      </w:r>
      <w:r w:rsidR="00D41505">
        <w:rPr>
          <w:rFonts w:ascii="Times New Roman CYR" w:hAnsi="Times New Roman CYR" w:cs="Times New Roman CYR"/>
          <w:sz w:val="28"/>
          <w:szCs w:val="28"/>
        </w:rPr>
        <w:t>увеличился н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5900A7">
        <w:rPr>
          <w:rFonts w:ascii="Times New Roman CYR" w:hAnsi="Times New Roman CYR" w:cs="Times New Roman CYR"/>
          <w:sz w:val="28"/>
          <w:szCs w:val="28"/>
        </w:rPr>
        <w:t>15,9</w:t>
      </w:r>
      <w:r>
        <w:rPr>
          <w:rFonts w:ascii="Times New Roman CYR" w:hAnsi="Times New Roman CYR" w:cs="Times New Roman CYR"/>
          <w:sz w:val="28"/>
          <w:szCs w:val="28"/>
        </w:rPr>
        <w:t xml:space="preserve">% и составил </w:t>
      </w:r>
      <w:r w:rsidR="005900A7">
        <w:rPr>
          <w:rFonts w:ascii="Times New Roman CYR" w:hAnsi="Times New Roman CYR" w:cs="Times New Roman CYR"/>
          <w:sz w:val="28"/>
          <w:szCs w:val="28"/>
        </w:rPr>
        <w:t>30412,2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445F1" w:rsidRPr="009325AF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Объем бюджетных ассигнований на 202</w:t>
      </w:r>
      <w:r w:rsidR="005900A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утвержденный Администрации поселения решением  о  бюджете  сельского поселения </w:t>
      </w:r>
      <w:proofErr w:type="spellStart"/>
      <w:r w:rsidR="006C3175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="006C31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5900A7">
        <w:rPr>
          <w:rFonts w:ascii="Times New Roman CYR" w:hAnsi="Times New Roman CYR" w:cs="Times New Roman CYR"/>
          <w:sz w:val="28"/>
          <w:szCs w:val="28"/>
        </w:rPr>
        <w:t>30412,2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рублей), на </w:t>
      </w:r>
      <w:r w:rsidR="006B2D5D">
        <w:rPr>
          <w:rFonts w:ascii="Times New Roman CYR" w:hAnsi="Times New Roman CYR" w:cs="Times New Roman CYR"/>
          <w:sz w:val="28"/>
          <w:szCs w:val="28"/>
        </w:rPr>
        <w:t>2185,0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6B2D5D">
        <w:rPr>
          <w:rFonts w:ascii="Times New Roman CYR" w:hAnsi="Times New Roman CYR" w:cs="Times New Roman CYR"/>
          <w:sz w:val="28"/>
          <w:szCs w:val="28"/>
        </w:rPr>
        <w:t>7,8</w:t>
      </w:r>
      <w:r>
        <w:rPr>
          <w:rFonts w:ascii="Times New Roman CYR" w:hAnsi="Times New Roman CYR" w:cs="Times New Roman CYR"/>
          <w:sz w:val="28"/>
          <w:szCs w:val="28"/>
        </w:rPr>
        <w:t xml:space="preserve"> % </w:t>
      </w:r>
      <w:r w:rsidR="00D41505"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бюджетных  ассигнований,  предусмотренных администрации поселения в 202</w:t>
      </w:r>
      <w:r w:rsidR="006B2D5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решением Совета</w:t>
      </w:r>
      <w:r w:rsidR="00D415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6C3175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="006C31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2D5D">
        <w:rPr>
          <w:rFonts w:ascii="Times New Roman CYR" w:hAnsi="Times New Roman CYR" w:cs="Times New Roman CYR"/>
          <w:sz w:val="28"/>
          <w:szCs w:val="28"/>
        </w:rPr>
        <w:t>25</w:t>
      </w:r>
      <w:r w:rsidRPr="009325AF">
        <w:rPr>
          <w:rFonts w:ascii="Times New Roman CYR" w:hAnsi="Times New Roman CYR" w:cs="Times New Roman CYR"/>
          <w:sz w:val="28"/>
          <w:szCs w:val="28"/>
        </w:rPr>
        <w:t>.12.20</w:t>
      </w:r>
      <w:r w:rsidR="00D41505" w:rsidRPr="009325AF">
        <w:rPr>
          <w:rFonts w:ascii="Times New Roman CYR" w:hAnsi="Times New Roman CYR" w:cs="Times New Roman CYR"/>
          <w:sz w:val="28"/>
          <w:szCs w:val="28"/>
        </w:rPr>
        <w:t>2</w:t>
      </w:r>
      <w:r w:rsidR="009325AF" w:rsidRPr="009325AF">
        <w:rPr>
          <w:rFonts w:ascii="Times New Roman CYR" w:hAnsi="Times New Roman CYR" w:cs="Times New Roman CYR"/>
          <w:sz w:val="28"/>
          <w:szCs w:val="28"/>
        </w:rPr>
        <w:t>1</w:t>
      </w:r>
      <w:r w:rsidRPr="009325AF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D41505" w:rsidRPr="009325AF">
        <w:rPr>
          <w:rFonts w:ascii="Times New Roman CYR" w:hAnsi="Times New Roman CYR" w:cs="Times New Roman CYR"/>
          <w:sz w:val="28"/>
          <w:szCs w:val="28"/>
        </w:rPr>
        <w:t>4</w:t>
      </w:r>
      <w:r w:rsidR="009325AF" w:rsidRPr="009325AF">
        <w:rPr>
          <w:rFonts w:ascii="Times New Roman CYR" w:hAnsi="Times New Roman CYR" w:cs="Times New Roman CYR"/>
          <w:sz w:val="28"/>
          <w:szCs w:val="28"/>
        </w:rPr>
        <w:t>3</w:t>
      </w:r>
      <w:r w:rsidRPr="009325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325AF">
        <w:rPr>
          <w:rFonts w:ascii="Times New Roman" w:hAnsi="Times New Roman" w:cs="Times New Roman"/>
          <w:sz w:val="28"/>
          <w:szCs w:val="28"/>
        </w:rPr>
        <w:t>«</w:t>
      </w:r>
      <w:r w:rsidRPr="009325AF">
        <w:rPr>
          <w:rFonts w:ascii="Times New Roman CYR" w:hAnsi="Times New Roman CYR" w:cs="Times New Roman CYR"/>
          <w:sz w:val="28"/>
          <w:szCs w:val="28"/>
        </w:rPr>
        <w:t xml:space="preserve">О бюджете сельского  поселения </w:t>
      </w:r>
      <w:proofErr w:type="spellStart"/>
      <w:r w:rsidR="006C3175" w:rsidRPr="009325AF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="006C3175" w:rsidRPr="009325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325AF">
        <w:rPr>
          <w:rFonts w:ascii="Times New Roman CYR" w:hAnsi="Times New Roman CYR" w:cs="Times New Roman CYR"/>
          <w:sz w:val="28"/>
          <w:szCs w:val="28"/>
        </w:rPr>
        <w:t>на 202</w:t>
      </w:r>
      <w:r w:rsidR="009325AF" w:rsidRPr="009325AF">
        <w:rPr>
          <w:rFonts w:ascii="Times New Roman CYR" w:hAnsi="Times New Roman CYR" w:cs="Times New Roman CYR"/>
          <w:sz w:val="28"/>
          <w:szCs w:val="28"/>
        </w:rPr>
        <w:t>1</w:t>
      </w:r>
      <w:r w:rsidRPr="009325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25AF">
        <w:rPr>
          <w:rFonts w:ascii="Times New Roman CYR" w:hAnsi="Times New Roman CYR" w:cs="Times New Roman CYR"/>
          <w:sz w:val="28"/>
          <w:szCs w:val="28"/>
        </w:rPr>
        <w:t>год и плановый период 202</w:t>
      </w:r>
      <w:r w:rsidR="009325AF" w:rsidRPr="009325AF">
        <w:rPr>
          <w:rFonts w:ascii="Times New Roman CYR" w:hAnsi="Times New Roman CYR" w:cs="Times New Roman CYR"/>
          <w:sz w:val="28"/>
          <w:szCs w:val="28"/>
        </w:rPr>
        <w:t>2</w:t>
      </w:r>
      <w:r w:rsidRPr="009325AF">
        <w:rPr>
          <w:rFonts w:ascii="Times New Roman CYR" w:hAnsi="Times New Roman CYR" w:cs="Times New Roman CYR"/>
          <w:sz w:val="28"/>
          <w:szCs w:val="28"/>
        </w:rPr>
        <w:t>-202</w:t>
      </w:r>
      <w:r w:rsidR="009325AF" w:rsidRPr="009325AF">
        <w:rPr>
          <w:rFonts w:ascii="Times New Roman CYR" w:hAnsi="Times New Roman CYR" w:cs="Times New Roman CYR"/>
          <w:sz w:val="28"/>
          <w:szCs w:val="28"/>
        </w:rPr>
        <w:t>3</w:t>
      </w:r>
      <w:r w:rsidRPr="009325A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9325AF">
        <w:rPr>
          <w:rFonts w:ascii="Times New Roman" w:hAnsi="Times New Roman" w:cs="Times New Roman"/>
          <w:sz w:val="28"/>
          <w:szCs w:val="28"/>
        </w:rPr>
        <w:t>» (</w:t>
      </w:r>
      <w:r w:rsidR="005900A7" w:rsidRPr="009325AF">
        <w:rPr>
          <w:rFonts w:ascii="Times New Roman" w:hAnsi="Times New Roman" w:cs="Times New Roman"/>
          <w:sz w:val="28"/>
          <w:szCs w:val="28"/>
        </w:rPr>
        <w:t>27847,1</w:t>
      </w:r>
      <w:r w:rsidRPr="009325AF">
        <w:rPr>
          <w:rFonts w:ascii="Times New Roman" w:hAnsi="Times New Roman" w:cs="Times New Roman"/>
          <w:sz w:val="28"/>
          <w:szCs w:val="28"/>
        </w:rPr>
        <w:t xml:space="preserve"> </w:t>
      </w:r>
      <w:r w:rsidRPr="009325AF">
        <w:rPr>
          <w:rFonts w:ascii="Times New Roman CYR" w:hAnsi="Times New Roman CYR" w:cs="Times New Roman CYR"/>
          <w:sz w:val="28"/>
          <w:szCs w:val="28"/>
        </w:rPr>
        <w:t>тыс. рублей).</w:t>
      </w:r>
      <w:proofErr w:type="gramEnd"/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25AF">
        <w:rPr>
          <w:rFonts w:ascii="Times New Roman CYR" w:hAnsi="Times New Roman CYR" w:cs="Times New Roman CYR"/>
          <w:sz w:val="28"/>
          <w:szCs w:val="28"/>
        </w:rPr>
        <w:t>Анализ структуры расходов</w:t>
      </w:r>
      <w:r>
        <w:rPr>
          <w:rFonts w:ascii="Times New Roman CYR" w:hAnsi="Times New Roman CYR" w:cs="Times New Roman CYR"/>
          <w:sz w:val="28"/>
          <w:szCs w:val="28"/>
        </w:rPr>
        <w:t xml:space="preserve"> и исполнения утвержденных бюджетных ассигнований бюджета поселения по главному распорядителю средств бюджета в разрезе разделов и подразделов классификации расходов бюджетов, утвержденной решением о бюджете на 202</w:t>
      </w:r>
      <w:r w:rsidR="006F2B9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представлены в таблице:</w:t>
      </w:r>
    </w:p>
    <w:p w:rsidR="006B2D5D" w:rsidRDefault="006B2D5D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6B2D5D" w:rsidRDefault="006B2D5D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2D5D" w:rsidRDefault="006B2D5D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13" w:type="dxa"/>
        <w:tblInd w:w="96" w:type="dxa"/>
        <w:tblLook w:val="04A0"/>
      </w:tblPr>
      <w:tblGrid>
        <w:gridCol w:w="1321"/>
        <w:gridCol w:w="1298"/>
        <w:gridCol w:w="1298"/>
        <w:gridCol w:w="1401"/>
        <w:gridCol w:w="1144"/>
        <w:gridCol w:w="1381"/>
        <w:gridCol w:w="1045"/>
        <w:gridCol w:w="921"/>
      </w:tblGrid>
      <w:tr w:rsidR="006B2D5D" w:rsidRPr="006B2D5D" w:rsidTr="006B2D5D">
        <w:trPr>
          <w:trHeight w:val="576"/>
        </w:trPr>
        <w:tc>
          <w:tcPr>
            <w:tcW w:w="13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Раздел, подраздел </w:t>
            </w: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классификации расходов</w:t>
            </w:r>
          </w:p>
        </w:tc>
        <w:tc>
          <w:tcPr>
            <w:tcW w:w="12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Утвержденный  </w:t>
            </w: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бюджет в ред. от 24.12.2021 №56, </w:t>
            </w:r>
            <w:proofErr w:type="spellStart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</w:t>
            </w:r>
            <w:proofErr w:type="gramStart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Утвержденный </w:t>
            </w: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бюджет в ред. от 22.12.2022 №66 , </w:t>
            </w:r>
            <w:proofErr w:type="spellStart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</w:t>
            </w:r>
            <w:proofErr w:type="gramStart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 xml:space="preserve">Отклонение </w:t>
            </w:r>
            <w:proofErr w:type="gramStart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уточненног</w:t>
            </w: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о</w:t>
            </w:r>
            <w:proofErr w:type="gramEnd"/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от первоначального</w:t>
            </w:r>
          </w:p>
        </w:tc>
        <w:tc>
          <w:tcPr>
            <w:tcW w:w="1118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 xml:space="preserve">Утверждено </w:t>
            </w: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бюджетной росписью тыс. руб.</w:t>
            </w:r>
          </w:p>
        </w:tc>
        <w:tc>
          <w:tcPr>
            <w:tcW w:w="13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Исполнено  (ф.0503127)</w:t>
            </w: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тыс. руб.</w:t>
            </w:r>
          </w:p>
        </w:tc>
        <w:tc>
          <w:tcPr>
            <w:tcW w:w="10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 xml:space="preserve">Процент </w:t>
            </w: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исполнения</w:t>
            </w:r>
          </w:p>
        </w:tc>
        <w:tc>
          <w:tcPr>
            <w:tcW w:w="85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 xml:space="preserve">Удельный вес, </w:t>
            </w:r>
          </w:p>
        </w:tc>
      </w:tr>
      <w:tr w:rsidR="006B2D5D" w:rsidRPr="006B2D5D" w:rsidTr="006B2D5D">
        <w:trPr>
          <w:trHeight w:val="1512"/>
        </w:trPr>
        <w:tc>
          <w:tcPr>
            <w:tcW w:w="13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B2D5D" w:rsidRPr="006B2D5D" w:rsidRDefault="006B2D5D" w:rsidP="006B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6B2D5D" w:rsidRPr="006B2D5D" w:rsidRDefault="006B2D5D" w:rsidP="006B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6B2D5D" w:rsidRPr="006B2D5D" w:rsidRDefault="006B2D5D" w:rsidP="006B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6B2D5D" w:rsidRPr="006B2D5D" w:rsidRDefault="006B2D5D" w:rsidP="006B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B2D5D" w:rsidRPr="006B2D5D" w:rsidRDefault="006B2D5D" w:rsidP="006B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B2D5D" w:rsidRPr="006B2D5D" w:rsidRDefault="006B2D5D" w:rsidP="006B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B2D5D" w:rsidRPr="006B2D5D" w:rsidRDefault="006B2D5D" w:rsidP="006B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B2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-1566,7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8843,4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-1566,7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7276,7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10343,7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10343,7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6B2D5D" w:rsidRPr="006B2D5D" w:rsidTr="006B2D5D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6B2D5D" w:rsidRPr="006B2D5D" w:rsidTr="006B2D5D">
        <w:trPr>
          <w:trHeight w:val="948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расходов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30412,2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30376,5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6B2D5D" w:rsidRPr="006B2D5D" w:rsidRDefault="006B2D5D" w:rsidP="006B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</w:tbl>
    <w:p w:rsidR="006B2D5D" w:rsidRDefault="006B2D5D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5F1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Администрации представлена </w:t>
      </w:r>
      <w:r w:rsidR="003C4161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разделами</w:t>
      </w:r>
      <w:r w:rsidR="006B2D5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6B2D5D">
        <w:rPr>
          <w:rFonts w:ascii="Times New Roman CYR" w:hAnsi="Times New Roman CYR" w:cs="Times New Roman CYR"/>
          <w:sz w:val="28"/>
          <w:szCs w:val="28"/>
        </w:rPr>
        <w:t>всем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года внесены изменения, которые в целом увеличили общий объем бюджетных ассигнований на </w:t>
      </w:r>
      <w:r w:rsidR="006B2D5D">
        <w:rPr>
          <w:rFonts w:ascii="Times New Roman CYR" w:hAnsi="Times New Roman CYR" w:cs="Times New Roman CYR"/>
          <w:sz w:val="28"/>
          <w:szCs w:val="28"/>
        </w:rPr>
        <w:t>4164,1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6B2D5D">
        <w:rPr>
          <w:rFonts w:ascii="Times New Roman CYR" w:hAnsi="Times New Roman CYR" w:cs="Times New Roman CYR"/>
          <w:sz w:val="28"/>
          <w:szCs w:val="28"/>
        </w:rPr>
        <w:t>15,9</w:t>
      </w:r>
      <w:r>
        <w:rPr>
          <w:rFonts w:ascii="Times New Roman CYR" w:hAnsi="Times New Roman CYR" w:cs="Times New Roman CYR"/>
          <w:sz w:val="28"/>
          <w:szCs w:val="28"/>
        </w:rPr>
        <w:t xml:space="preserve">% установленных первоначальных значений. </w:t>
      </w:r>
    </w:p>
    <w:p w:rsidR="007445F1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бюджета сельского поселения</w:t>
      </w:r>
      <w:r w:rsidR="003C416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C4161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="006B2D5D">
        <w:rPr>
          <w:rFonts w:ascii="Times New Roman CYR" w:hAnsi="Times New Roman CYR" w:cs="Times New Roman CYR"/>
          <w:sz w:val="28"/>
          <w:szCs w:val="28"/>
        </w:rPr>
        <w:t xml:space="preserve"> по расходам в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6B2D5D">
        <w:rPr>
          <w:rFonts w:ascii="Times New Roman CYR" w:hAnsi="Times New Roman CYR" w:cs="Times New Roman CYR"/>
          <w:sz w:val="28"/>
          <w:szCs w:val="28"/>
        </w:rPr>
        <w:t>30376,5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6B2D5D">
        <w:rPr>
          <w:rFonts w:ascii="Times New Roman CYR" w:hAnsi="Times New Roman CYR" w:cs="Times New Roman CYR"/>
          <w:sz w:val="28"/>
          <w:szCs w:val="28"/>
        </w:rPr>
        <w:t>99,9</w:t>
      </w:r>
      <w:r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утвержденных решением о бюджете и бюджетных  ассигнований, предусмотренных сводной бюджетной росписью, что </w:t>
      </w:r>
      <w:r w:rsidR="006B2D5D"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уровн</w:t>
      </w:r>
      <w:r w:rsidR="004D1D10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 исполнения  бюджета  сельского поселения </w:t>
      </w:r>
      <w:proofErr w:type="spellStart"/>
      <w:r w:rsidR="003C4161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="003C41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 расходам в 202</w:t>
      </w:r>
      <w:r w:rsidR="006B2D5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6B2D5D">
        <w:rPr>
          <w:rFonts w:ascii="Times New Roman CYR" w:hAnsi="Times New Roman CYR" w:cs="Times New Roman CYR"/>
          <w:sz w:val="28"/>
          <w:szCs w:val="28"/>
        </w:rPr>
        <w:t>97,4</w:t>
      </w:r>
      <w:r>
        <w:rPr>
          <w:rFonts w:ascii="Times New Roman CYR" w:hAnsi="Times New Roman CYR" w:cs="Times New Roman CYR"/>
          <w:sz w:val="28"/>
          <w:szCs w:val="28"/>
        </w:rPr>
        <w:t xml:space="preserve">%).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Отклонений сводной бюджетной росписи от плановых назначений, утвержденных решением о бюджете на 202</w:t>
      </w:r>
      <w:r w:rsidR="006B2D5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не установлено.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 xml:space="preserve">0503127),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обязательства бюджета исполнены в сумме </w:t>
      </w:r>
      <w:r w:rsidR="006B2D5D">
        <w:rPr>
          <w:rFonts w:ascii="Times New Roman CYR" w:hAnsi="Times New Roman CYR" w:cs="Times New Roman CYR"/>
          <w:sz w:val="28"/>
          <w:szCs w:val="28"/>
        </w:rPr>
        <w:t>30376,5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3C4161">
        <w:rPr>
          <w:rFonts w:ascii="Times New Roman CYR" w:hAnsi="Times New Roman CYR" w:cs="Times New Roman CYR"/>
          <w:sz w:val="28"/>
          <w:szCs w:val="28"/>
        </w:rPr>
        <w:t>9</w:t>
      </w:r>
      <w:r w:rsidR="006B2D5D">
        <w:rPr>
          <w:rFonts w:ascii="Times New Roman CYR" w:hAnsi="Times New Roman CYR" w:cs="Times New Roman CYR"/>
          <w:sz w:val="28"/>
          <w:szCs w:val="28"/>
        </w:rPr>
        <w:t>9</w:t>
      </w:r>
      <w:r w:rsidR="003C4161">
        <w:rPr>
          <w:rFonts w:ascii="Times New Roman CYR" w:hAnsi="Times New Roman CYR" w:cs="Times New Roman CYR"/>
          <w:sz w:val="28"/>
          <w:szCs w:val="28"/>
        </w:rPr>
        <w:t>,</w:t>
      </w:r>
      <w:r w:rsidR="006B2D5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% от объема годовых назначений уточненного бюджета. </w:t>
      </w:r>
      <w:proofErr w:type="gramEnd"/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 сельского </w:t>
      </w:r>
      <w:r w:rsidR="00775B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proofErr w:type="spellStart"/>
      <w:r w:rsidR="003C4161">
        <w:rPr>
          <w:rFonts w:ascii="Times New Roman CYR" w:hAnsi="Times New Roman CYR" w:cs="Times New Roman CYR"/>
          <w:sz w:val="28"/>
          <w:szCs w:val="28"/>
        </w:rPr>
        <w:t>Белокрестское</w:t>
      </w:r>
      <w:proofErr w:type="spellEnd"/>
      <w:r w:rsidR="003C41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 с </w:t>
      </w:r>
      <w:r w:rsidR="003C4161">
        <w:rPr>
          <w:rFonts w:ascii="Times New Roman CYR" w:hAnsi="Times New Roman CYR" w:cs="Times New Roman CYR"/>
          <w:sz w:val="28"/>
          <w:szCs w:val="28"/>
        </w:rPr>
        <w:t>дефицитом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6B2D5D">
        <w:rPr>
          <w:rFonts w:ascii="Times New Roman CYR" w:hAnsi="Times New Roman CYR" w:cs="Times New Roman CYR"/>
          <w:sz w:val="28"/>
          <w:szCs w:val="28"/>
        </w:rPr>
        <w:t>491,8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1922BD" w:rsidRDefault="001922BD" w:rsidP="007445F1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7445F1" w:rsidRPr="003920AF" w:rsidRDefault="007445F1" w:rsidP="007445F1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920AF">
        <w:rPr>
          <w:rFonts w:ascii="Times New Roman" w:hAnsi="Times New Roman" w:cs="Times New Roman"/>
          <w:i/>
          <w:iCs/>
          <w:sz w:val="28"/>
          <w:szCs w:val="28"/>
        </w:rPr>
        <w:t xml:space="preserve">3.4. </w:t>
      </w:r>
      <w:r w:rsidRPr="003920AF">
        <w:rPr>
          <w:rFonts w:ascii="Times New Roman CYR" w:hAnsi="Times New Roman CYR" w:cs="Times New Roman CYR"/>
          <w:i/>
          <w:iCs/>
          <w:sz w:val="28"/>
          <w:szCs w:val="28"/>
        </w:rPr>
        <w:t>Результаты  проверки  и  анализа  исполнения  бюджета</w:t>
      </w:r>
      <w:r w:rsidR="00775B48" w:rsidRPr="003920A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3920AF">
        <w:rPr>
          <w:rFonts w:ascii="Times New Roman CYR" w:hAnsi="Times New Roman CYR" w:cs="Times New Roman CYR"/>
          <w:i/>
          <w:iCs/>
          <w:sz w:val="28"/>
          <w:szCs w:val="28"/>
        </w:rPr>
        <w:t xml:space="preserve">  сельского поселения </w:t>
      </w:r>
      <w:proofErr w:type="spellStart"/>
      <w:r w:rsidR="001922BD" w:rsidRPr="003920AF">
        <w:rPr>
          <w:rFonts w:ascii="Times New Roman CYR" w:hAnsi="Times New Roman CYR" w:cs="Times New Roman CYR"/>
          <w:i/>
          <w:iCs/>
          <w:sz w:val="28"/>
          <w:szCs w:val="28"/>
        </w:rPr>
        <w:t>Белокрестское</w:t>
      </w:r>
      <w:proofErr w:type="spellEnd"/>
      <w:r w:rsidR="001922BD" w:rsidRPr="003920AF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3920AF">
        <w:rPr>
          <w:rFonts w:ascii="Times New Roman CYR" w:hAnsi="Times New Roman CYR" w:cs="Times New Roman CYR"/>
          <w:i/>
          <w:iCs/>
          <w:sz w:val="28"/>
          <w:szCs w:val="28"/>
        </w:rPr>
        <w:t xml:space="preserve">по расходам, предусмотренным на реализацию муниципальных  программ </w:t>
      </w:r>
    </w:p>
    <w:p w:rsidR="007445F1" w:rsidRPr="003920AF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75B48" w:rsidRPr="003920AF" w:rsidRDefault="00775B48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Финансирование расходов </w:t>
      </w:r>
      <w:r w:rsidRPr="003920AF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существлялось в рамках муниципальных программ сельского поселения. </w:t>
      </w:r>
      <w:r w:rsidRPr="003920AF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Администрация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являлась главным распорядителем бюджетных средств по </w:t>
      </w:r>
      <w:r w:rsidR="002C2760"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трем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муниципальным программам. </w:t>
      </w:r>
    </w:p>
    <w:p w:rsidR="00775B48" w:rsidRPr="003920AF" w:rsidRDefault="00775B48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Бюджетные ассигнования на 202</w:t>
      </w:r>
      <w:r w:rsidR="00AC37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предусмотрены решением о бюджете поселения </w:t>
      </w:r>
      <w:r w:rsidRPr="003920AF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 реализацию муниципальных программ в объеме </w:t>
      </w:r>
      <w:r w:rsidR="00AC37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17711,9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рублей, что составляет </w:t>
      </w:r>
      <w:r w:rsidR="00AC37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58,2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% от всех расходов </w:t>
      </w:r>
      <w:r w:rsidRPr="003920AF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бюджета поселения. Согласно бюджетной отчетности, исполнение бюджетных назначений программных мероприятий в 202</w:t>
      </w:r>
      <w:r w:rsidR="00AC37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году </w:t>
      </w:r>
      <w:r w:rsidR="00F27474"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исполнено в сумме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C37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17684,8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AC37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99,9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% от сводной бюджетной росписи (</w:t>
      </w:r>
      <w:r w:rsidR="00AC37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17711,9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рублей), из них:</w:t>
      </w:r>
    </w:p>
    <w:p w:rsidR="00775B48" w:rsidRPr="003920AF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775B48"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муниципальной программе 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«Обеспечение </w:t>
      </w:r>
      <w:r w:rsidR="00775B48"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</w:t>
      </w:r>
      <w:r w:rsidR="00775B48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 территории сельского поселения </w:t>
      </w:r>
      <w:proofErr w:type="spellStart"/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Белокрестское</w:t>
      </w:r>
      <w:proofErr w:type="spellEnd"/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2021-202</w:t>
      </w:r>
      <w:r w:rsidR="00AC374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годы</w:t>
      </w:r>
      <w:r w:rsidR="00775B48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775B48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бюджетные назн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</w:t>
      </w:r>
      <w:r w:rsidR="00775B48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чения освоены полностью в объеме </w:t>
      </w:r>
      <w:r w:rsidR="00AC374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91,5</w:t>
      </w:r>
      <w:r w:rsidR="00775B48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="00F27474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;</w:t>
      </w:r>
    </w:p>
    <w:p w:rsidR="00775B48" w:rsidRPr="003920AF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="00775B48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775B48"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муниципальной программе «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Благоустройство территории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Белокрестское</w:t>
      </w:r>
      <w:proofErr w:type="spellEnd"/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 2020-202</w:t>
      </w:r>
      <w:r w:rsidR="00AC374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годы</w:t>
      </w:r>
      <w:r w:rsidR="00775B48"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775B48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бюджетные назн</w:t>
      </w:r>
      <w:r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="00775B48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чения ос</w:t>
      </w:r>
      <w:r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воены </w:t>
      </w:r>
      <w:r w:rsidR="00775B48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в </w:t>
      </w:r>
      <w:r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сумме </w:t>
      </w:r>
      <w:r w:rsidR="00AC374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7249,6</w:t>
      </w:r>
      <w:r w:rsidR="00775B48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или </w:t>
      </w:r>
      <w:r w:rsidR="003920AF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</w:t>
      </w:r>
      <w:r w:rsidR="00AC374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</w:t>
      </w:r>
      <w:r w:rsidR="003920AF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AC374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F27474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AC374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7276,7</w:t>
      </w:r>
      <w:r w:rsidR="00F27474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F27474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F27474"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</w:p>
    <w:p w:rsidR="00531358" w:rsidRDefault="00F27474" w:rsidP="0053135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3920AF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муниципальной программе «Развитие культуры в 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сельском</w:t>
      </w:r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поселении</w:t>
      </w:r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Белокрестское</w:t>
      </w:r>
      <w:proofErr w:type="spellEnd"/>
      <w:r w:rsidR="003920AF"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 2020-202</w:t>
      </w:r>
      <w:r w:rsidR="00AC374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годы»  бюджетные назначения освоены полностью в объеме </w:t>
      </w:r>
      <w:r w:rsidR="00AC374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10343,7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="0053135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</w:t>
      </w:r>
      <w:r w:rsidR="0053135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что подтверждено </w:t>
      </w:r>
      <w:r w:rsidR="00531358">
        <w:rPr>
          <w:rFonts w:ascii="Times New Roman" w:hAnsi="Times New Roman" w:cs="Times New Roman"/>
          <w:color w:val="000000"/>
          <w:sz w:val="26"/>
          <w:szCs w:val="26"/>
        </w:rPr>
        <w:t xml:space="preserve"> формой  0503166 </w:t>
      </w:r>
      <w:r w:rsidR="00531358">
        <w:rPr>
          <w:rFonts w:ascii="Times New Roman" w:hAnsi="Times New Roman" w:cs="Times New Roman"/>
          <w:sz w:val="28"/>
          <w:szCs w:val="28"/>
        </w:rPr>
        <w:t>«</w:t>
      </w:r>
      <w:r w:rsidR="00531358">
        <w:rPr>
          <w:rFonts w:ascii="Times New Roman CYR" w:hAnsi="Times New Roman CYR" w:cs="Times New Roman CYR"/>
          <w:sz w:val="28"/>
          <w:szCs w:val="28"/>
        </w:rPr>
        <w:t>Сведения об исполнении мероприятий в рамках целевых программ</w:t>
      </w:r>
      <w:r w:rsidR="00531358">
        <w:rPr>
          <w:rFonts w:ascii="Times New Roman" w:hAnsi="Times New Roman" w:cs="Times New Roman"/>
          <w:sz w:val="28"/>
          <w:szCs w:val="28"/>
        </w:rPr>
        <w:t>».</w:t>
      </w:r>
    </w:p>
    <w:p w:rsidR="00531358" w:rsidRDefault="00531358" w:rsidP="0053135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7474" w:rsidRPr="003920AF" w:rsidRDefault="00F27474" w:rsidP="00F27474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27474" w:rsidRPr="003920AF" w:rsidRDefault="00F27474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p w:rsidR="00775B48" w:rsidRPr="003C4161" w:rsidRDefault="00775B48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7445F1" w:rsidRPr="00E379CC" w:rsidRDefault="007445F1" w:rsidP="0025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9CC">
        <w:rPr>
          <w:rFonts w:ascii="Times New Roman CYR" w:hAnsi="Times New Roman CYR" w:cs="Times New Roman CYR"/>
          <w:i/>
          <w:iCs/>
          <w:sz w:val="28"/>
          <w:szCs w:val="28"/>
        </w:rPr>
        <w:t>Прочие вопросы деятельности</w:t>
      </w:r>
      <w:r w:rsidRPr="00E37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Pr="00E379CC" w:rsidRDefault="007445F1" w:rsidP="007445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 w:rsidRPr="00E379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79CC">
        <w:rPr>
          <w:rFonts w:ascii="Times New Roman" w:hAnsi="Times New Roman" w:cs="Times New Roman"/>
          <w:sz w:val="28"/>
          <w:szCs w:val="28"/>
        </w:rPr>
        <w:t xml:space="preserve">158 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Инструкции № 191н на основании распоряжения администрации поселения от </w:t>
      </w:r>
      <w:r w:rsidR="00AC374B">
        <w:rPr>
          <w:rFonts w:ascii="Times New Roman CYR" w:hAnsi="Times New Roman CYR" w:cs="Times New Roman CYR"/>
          <w:sz w:val="28"/>
          <w:szCs w:val="28"/>
        </w:rPr>
        <w:t>2</w:t>
      </w:r>
      <w:r w:rsidR="00E379CC" w:rsidRPr="00E379CC">
        <w:rPr>
          <w:rFonts w:ascii="Times New Roman CYR" w:hAnsi="Times New Roman CYR" w:cs="Times New Roman CYR"/>
          <w:sz w:val="28"/>
          <w:szCs w:val="28"/>
        </w:rPr>
        <w:t>5</w:t>
      </w:r>
      <w:r w:rsidR="00A7163A" w:rsidRPr="00E379CC">
        <w:rPr>
          <w:rFonts w:ascii="Times New Roman CYR" w:hAnsi="Times New Roman CYR" w:cs="Times New Roman CYR"/>
          <w:sz w:val="28"/>
          <w:szCs w:val="28"/>
        </w:rPr>
        <w:t>.10.202</w:t>
      </w:r>
      <w:r w:rsidR="00AC374B">
        <w:rPr>
          <w:rFonts w:ascii="Times New Roman CYR" w:hAnsi="Times New Roman CYR" w:cs="Times New Roman CYR"/>
          <w:sz w:val="28"/>
          <w:szCs w:val="28"/>
        </w:rPr>
        <w:t>2</w:t>
      </w:r>
      <w:r w:rsidR="00A7163A" w:rsidRPr="00E379CC">
        <w:rPr>
          <w:rFonts w:ascii="Times New Roman CYR" w:hAnsi="Times New Roman CYR" w:cs="Times New Roman CYR"/>
          <w:sz w:val="28"/>
          <w:szCs w:val="28"/>
        </w:rPr>
        <w:t>г.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7163A" w:rsidRPr="00E379CC">
        <w:rPr>
          <w:rFonts w:ascii="Times New Roman CYR" w:hAnsi="Times New Roman CYR" w:cs="Times New Roman CYR"/>
          <w:sz w:val="28"/>
          <w:szCs w:val="28"/>
        </w:rPr>
        <w:t>2</w:t>
      </w:r>
      <w:r w:rsidR="00AC374B">
        <w:rPr>
          <w:rFonts w:ascii="Times New Roman CYR" w:hAnsi="Times New Roman CYR" w:cs="Times New Roman CYR"/>
          <w:sz w:val="28"/>
          <w:szCs w:val="28"/>
        </w:rPr>
        <w:t>3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 w:rsidRPr="00E379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79CC">
        <w:rPr>
          <w:rFonts w:ascii="Times New Roman" w:hAnsi="Times New Roman" w:cs="Times New Roman"/>
          <w:sz w:val="28"/>
          <w:szCs w:val="28"/>
        </w:rPr>
        <w:t>«</w:t>
      </w:r>
      <w:r w:rsidRPr="00E379CC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E379CC">
        <w:rPr>
          <w:rFonts w:ascii="Times New Roman" w:hAnsi="Times New Roman" w:cs="Times New Roman"/>
          <w:sz w:val="28"/>
          <w:szCs w:val="28"/>
        </w:rPr>
        <w:t xml:space="preserve">» </w:t>
      </w:r>
      <w:r w:rsidRPr="00E379CC"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7445F1" w:rsidRPr="00E379CC" w:rsidRDefault="007445F1" w:rsidP="007445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79CC">
        <w:rPr>
          <w:rFonts w:ascii="Times New Roman CYR" w:hAnsi="Times New Roman CYR" w:cs="Times New Roman CYR"/>
          <w:b/>
          <w:bCs/>
          <w:sz w:val="28"/>
          <w:szCs w:val="28"/>
        </w:rPr>
        <w:t>Выводы по результатам внешней проверки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Годовая бюджетная отчетность об исполнении бюджета сельского поселения</w:t>
      </w:r>
      <w:r w:rsidR="00E379CC"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E379CC"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Белокрестское</w:t>
      </w:r>
      <w:proofErr w:type="spellEnd"/>
      <w:r w:rsidR="00E379CC"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379CC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Администрацией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за 202</w:t>
      </w:r>
      <w:r w:rsidR="00AC374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порядке, установленным Бюджетным кодексом Российской Федерации, в сроки, установленные Положением о бюджетном процессе в </w:t>
      </w:r>
      <w:r w:rsidR="0046360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сельском поселении </w:t>
      </w:r>
      <w:r w:rsidR="00120B2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Белокрестское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в порядке и по формам, утвержденным Инструкцией № 191н.</w:t>
      </w:r>
      <w:proofErr w:type="gramEnd"/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Показатели,  отраженные  в  бюджетной  отчетности  </w:t>
      </w:r>
      <w:r w:rsidRPr="00E379CC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соответствуют показателям, утвержденным решением о бюджете поселения, и показателям сводной бюджетной росписи.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Факты недостоверности показателей бюджетной отчетности </w:t>
      </w:r>
      <w:r w:rsidRPr="00E379CC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E379CC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 выявлены. </w:t>
      </w:r>
      <w:r w:rsidRPr="00E379CC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Несоблюдение контрольных  соотношений между показателями форм бюджетной отчетности, влияющее на достоверность бюджетной отчетности, не установлено.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Уровень исполнения бюджета по доходам составил </w:t>
      </w:r>
      <w:r w:rsidR="00E379CC"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99,</w:t>
      </w:r>
      <w:r w:rsidR="00FE7EF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 w:rsidR="00FE7EF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29884,7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Исполнение бюджета сельского поселения по расходам в 202</w:t>
      </w:r>
      <w:r w:rsidR="00AC374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году </w:t>
      </w:r>
      <w:r w:rsidRPr="00E379CC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Администрацией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составило </w:t>
      </w:r>
      <w:r w:rsidR="00AC374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30376,3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</w:t>
      </w:r>
      <w:r w:rsidR="00AC374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99,9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% от сводной бюджетной росписи.</w:t>
      </w:r>
    </w:p>
    <w:p w:rsidR="007445F1" w:rsidRPr="00E379CC" w:rsidRDefault="007445F1" w:rsidP="007445F1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379CC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7445F1" w:rsidRPr="00E379CC" w:rsidRDefault="007445F1" w:rsidP="00744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79CC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445F1" w:rsidRPr="00E379CC" w:rsidRDefault="009B493D" w:rsidP="007445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>к</w:t>
      </w:r>
      <w:r w:rsidR="007445F1" w:rsidRPr="00E379CC">
        <w:rPr>
          <w:rFonts w:ascii="Times New Roman CYR" w:hAnsi="Times New Roman CYR" w:cs="Times New Roman CYR"/>
          <w:sz w:val="28"/>
          <w:szCs w:val="28"/>
        </w:rPr>
        <w:t>онтрольно-счётно</w:t>
      </w:r>
      <w:r w:rsidRPr="00E379CC">
        <w:rPr>
          <w:rFonts w:ascii="Times New Roman CYR" w:hAnsi="Times New Roman CYR" w:cs="Times New Roman CYR"/>
          <w:sz w:val="28"/>
          <w:szCs w:val="28"/>
        </w:rPr>
        <w:t>го</w:t>
      </w:r>
      <w:r w:rsidR="007445F1" w:rsidRPr="00E379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отдела            </w:t>
      </w:r>
      <w:r w:rsidR="007445F1" w:rsidRPr="00E379CC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Pr="00E379CC">
        <w:rPr>
          <w:rFonts w:ascii="Times New Roman CYR" w:hAnsi="Times New Roman CYR" w:cs="Times New Roman CYR"/>
          <w:sz w:val="28"/>
          <w:szCs w:val="28"/>
        </w:rPr>
        <w:t>Н.В.Васильева</w:t>
      </w:r>
    </w:p>
    <w:p w:rsidR="007445F1" w:rsidRPr="00E379CC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45F1" w:rsidRPr="00E379CC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79CC">
        <w:rPr>
          <w:rFonts w:ascii="Times New Roman CYR" w:hAnsi="Times New Roman CYR" w:cs="Times New Roman CYR"/>
          <w:b/>
          <w:bCs/>
          <w:sz w:val="28"/>
          <w:szCs w:val="28"/>
        </w:rPr>
        <w:t>ОЗНАКОМЛЕНЫ:</w:t>
      </w:r>
    </w:p>
    <w:p w:rsidR="002D0631" w:rsidRDefault="002D0631" w:rsidP="00FE7E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E7EFC" w:rsidRDefault="00FE7EFC" w:rsidP="00FE7E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Белокрестского</w:t>
      </w:r>
      <w:proofErr w:type="spellEnd"/>
    </w:p>
    <w:p w:rsidR="00BC65B0" w:rsidRPr="007445F1" w:rsidRDefault="00FE7EFC" w:rsidP="00FE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территориального управления                                              Е.А.Самоглядова                                       </w:t>
      </w:r>
    </w:p>
    <w:p w:rsidR="00775B48" w:rsidRDefault="00775B48"/>
    <w:sectPr w:rsidR="00775B48" w:rsidSect="00775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5F1"/>
    <w:rsid w:val="00034A79"/>
    <w:rsid w:val="00035616"/>
    <w:rsid w:val="000714F6"/>
    <w:rsid w:val="000808E4"/>
    <w:rsid w:val="000B696A"/>
    <w:rsid w:val="000E0F4F"/>
    <w:rsid w:val="000F38B7"/>
    <w:rsid w:val="00120B22"/>
    <w:rsid w:val="0015218D"/>
    <w:rsid w:val="0016329D"/>
    <w:rsid w:val="00167069"/>
    <w:rsid w:val="0019030B"/>
    <w:rsid w:val="001922BD"/>
    <w:rsid w:val="001A7DFC"/>
    <w:rsid w:val="001E4720"/>
    <w:rsid w:val="001F562E"/>
    <w:rsid w:val="002209F2"/>
    <w:rsid w:val="0022578D"/>
    <w:rsid w:val="0023230E"/>
    <w:rsid w:val="00236346"/>
    <w:rsid w:val="002427DD"/>
    <w:rsid w:val="00250DF7"/>
    <w:rsid w:val="0025105A"/>
    <w:rsid w:val="002531B3"/>
    <w:rsid w:val="00257C3B"/>
    <w:rsid w:val="00264C28"/>
    <w:rsid w:val="002A0A5F"/>
    <w:rsid w:val="002B39B4"/>
    <w:rsid w:val="002B5254"/>
    <w:rsid w:val="002C2760"/>
    <w:rsid w:val="002C2B76"/>
    <w:rsid w:val="002D0631"/>
    <w:rsid w:val="00331B86"/>
    <w:rsid w:val="0033267D"/>
    <w:rsid w:val="00365001"/>
    <w:rsid w:val="00365B34"/>
    <w:rsid w:val="00384701"/>
    <w:rsid w:val="003920AF"/>
    <w:rsid w:val="003B3B3A"/>
    <w:rsid w:val="003C4161"/>
    <w:rsid w:val="003E5AD0"/>
    <w:rsid w:val="00403E9E"/>
    <w:rsid w:val="00433E89"/>
    <w:rsid w:val="004602D4"/>
    <w:rsid w:val="0046360B"/>
    <w:rsid w:val="00494FB2"/>
    <w:rsid w:val="004B0148"/>
    <w:rsid w:val="004C2C37"/>
    <w:rsid w:val="004D1D10"/>
    <w:rsid w:val="004E6BD0"/>
    <w:rsid w:val="00526B94"/>
    <w:rsid w:val="00531358"/>
    <w:rsid w:val="005639DF"/>
    <w:rsid w:val="00585572"/>
    <w:rsid w:val="005900A7"/>
    <w:rsid w:val="005B32FA"/>
    <w:rsid w:val="005B588C"/>
    <w:rsid w:val="005C6EF4"/>
    <w:rsid w:val="005D27F6"/>
    <w:rsid w:val="005E26F0"/>
    <w:rsid w:val="005E53E4"/>
    <w:rsid w:val="005F534E"/>
    <w:rsid w:val="006001C4"/>
    <w:rsid w:val="00611825"/>
    <w:rsid w:val="0061473A"/>
    <w:rsid w:val="0062091E"/>
    <w:rsid w:val="006220F8"/>
    <w:rsid w:val="00660CAA"/>
    <w:rsid w:val="00666807"/>
    <w:rsid w:val="006B2D5D"/>
    <w:rsid w:val="006C3175"/>
    <w:rsid w:val="006F2B91"/>
    <w:rsid w:val="00723A34"/>
    <w:rsid w:val="00725880"/>
    <w:rsid w:val="007445F1"/>
    <w:rsid w:val="00775B48"/>
    <w:rsid w:val="0077782A"/>
    <w:rsid w:val="00787CA0"/>
    <w:rsid w:val="0079232A"/>
    <w:rsid w:val="0079321E"/>
    <w:rsid w:val="007C296D"/>
    <w:rsid w:val="00803A22"/>
    <w:rsid w:val="00807FFD"/>
    <w:rsid w:val="00813E4F"/>
    <w:rsid w:val="00822A88"/>
    <w:rsid w:val="00844965"/>
    <w:rsid w:val="008519D2"/>
    <w:rsid w:val="00912952"/>
    <w:rsid w:val="009175E0"/>
    <w:rsid w:val="009325AF"/>
    <w:rsid w:val="00940DBE"/>
    <w:rsid w:val="009644B1"/>
    <w:rsid w:val="00976855"/>
    <w:rsid w:val="00977FA0"/>
    <w:rsid w:val="00985117"/>
    <w:rsid w:val="009905B4"/>
    <w:rsid w:val="00997F47"/>
    <w:rsid w:val="009A0FCD"/>
    <w:rsid w:val="009B493D"/>
    <w:rsid w:val="009F2B85"/>
    <w:rsid w:val="009F5471"/>
    <w:rsid w:val="00A27F31"/>
    <w:rsid w:val="00A40CA4"/>
    <w:rsid w:val="00A44330"/>
    <w:rsid w:val="00A63420"/>
    <w:rsid w:val="00A7163A"/>
    <w:rsid w:val="00A85C36"/>
    <w:rsid w:val="00A9131E"/>
    <w:rsid w:val="00A96C16"/>
    <w:rsid w:val="00AC374B"/>
    <w:rsid w:val="00AD5D44"/>
    <w:rsid w:val="00B62DF3"/>
    <w:rsid w:val="00B734EB"/>
    <w:rsid w:val="00B9387B"/>
    <w:rsid w:val="00BA484E"/>
    <w:rsid w:val="00BC65B0"/>
    <w:rsid w:val="00C46243"/>
    <w:rsid w:val="00D04BBA"/>
    <w:rsid w:val="00D211B7"/>
    <w:rsid w:val="00D25A9B"/>
    <w:rsid w:val="00D3426F"/>
    <w:rsid w:val="00D41505"/>
    <w:rsid w:val="00D80BB4"/>
    <w:rsid w:val="00DA001D"/>
    <w:rsid w:val="00DC5D5E"/>
    <w:rsid w:val="00DE6DCA"/>
    <w:rsid w:val="00DF2B57"/>
    <w:rsid w:val="00E050E2"/>
    <w:rsid w:val="00E1625E"/>
    <w:rsid w:val="00E2159E"/>
    <w:rsid w:val="00E217BF"/>
    <w:rsid w:val="00E375CA"/>
    <w:rsid w:val="00E379CC"/>
    <w:rsid w:val="00E44ACC"/>
    <w:rsid w:val="00E469F8"/>
    <w:rsid w:val="00E50380"/>
    <w:rsid w:val="00E52E7F"/>
    <w:rsid w:val="00E55249"/>
    <w:rsid w:val="00E55B15"/>
    <w:rsid w:val="00E66606"/>
    <w:rsid w:val="00E74560"/>
    <w:rsid w:val="00E87902"/>
    <w:rsid w:val="00E97417"/>
    <w:rsid w:val="00ED73A5"/>
    <w:rsid w:val="00EE6693"/>
    <w:rsid w:val="00EF0910"/>
    <w:rsid w:val="00F0601E"/>
    <w:rsid w:val="00F1415E"/>
    <w:rsid w:val="00F27474"/>
    <w:rsid w:val="00F44F82"/>
    <w:rsid w:val="00F60505"/>
    <w:rsid w:val="00F754E2"/>
    <w:rsid w:val="00F96BE8"/>
    <w:rsid w:val="00FA189B"/>
    <w:rsid w:val="00FC0735"/>
    <w:rsid w:val="00FD26DF"/>
    <w:rsid w:val="00FE2BEE"/>
    <w:rsid w:val="00FE3F33"/>
    <w:rsid w:val="00FE752D"/>
    <w:rsid w:val="00FE7EFC"/>
    <w:rsid w:val="00FF4FC4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4484&amp;dst=100387&amp;field=134&amp;date=21.03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4484&amp;dst=100016&amp;field=134&amp;date=21.03.2022" TargetMode="External"/><Relationship Id="rId5" Type="http://schemas.openxmlformats.org/officeDocument/2006/relationships/hyperlink" Target="https://login.consultant.ru/link/?req=doc&amp;base=LAW&amp;n=409191&amp;dst=100015&amp;field=134&amp;date=21.03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11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2023-04-14T07:49:00Z</cp:lastPrinted>
  <dcterms:created xsi:type="dcterms:W3CDTF">2022-04-09T10:22:00Z</dcterms:created>
  <dcterms:modified xsi:type="dcterms:W3CDTF">2023-04-21T06:19:00Z</dcterms:modified>
</cp:coreProperties>
</file>