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3D30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313D30" w:rsidRPr="00313D3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внешней проверки бюджетной  отчетности главного распорядителя средств районного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— </w:t>
      </w:r>
      <w:r w:rsidR="00AC23DA">
        <w:rPr>
          <w:rFonts w:ascii="Times New Roman CYR" w:hAnsi="Times New Roman CYR" w:cs="Times New Roman CYR"/>
          <w:b/>
          <w:bCs/>
          <w:sz w:val="28"/>
          <w:szCs w:val="28"/>
        </w:rPr>
        <w:t>Представительного Собрания</w:t>
      </w:r>
      <w:r w:rsidR="00B831B6">
        <w:rPr>
          <w:rFonts w:ascii="Times New Roman CYR" w:hAnsi="Times New Roman CYR" w:cs="Times New Roman CYR"/>
          <w:b/>
          <w:bCs/>
          <w:sz w:val="28"/>
          <w:szCs w:val="28"/>
        </w:rPr>
        <w:t xml:space="preserve"> Чагодощенского муниципального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за 202</w:t>
      </w:r>
      <w:r w:rsidR="00E31F3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B831B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EC7BD6" w:rsidRPr="00E37822">
        <w:rPr>
          <w:rFonts w:ascii="Times New Roman" w:hAnsi="Times New Roman" w:cs="Times New Roman"/>
          <w:sz w:val="28"/>
          <w:szCs w:val="28"/>
        </w:rPr>
        <w:t>«</w:t>
      </w:r>
      <w:r w:rsidR="00E37822" w:rsidRPr="00E37822">
        <w:rPr>
          <w:rFonts w:ascii="Times New Roman" w:hAnsi="Times New Roman" w:cs="Times New Roman"/>
          <w:sz w:val="28"/>
          <w:szCs w:val="28"/>
        </w:rPr>
        <w:t>1</w:t>
      </w:r>
      <w:r w:rsidR="00E37822">
        <w:rPr>
          <w:rFonts w:ascii="Times New Roman" w:hAnsi="Times New Roman" w:cs="Times New Roman"/>
          <w:sz w:val="28"/>
          <w:szCs w:val="28"/>
        </w:rPr>
        <w:t>1</w:t>
      </w:r>
      <w:r w:rsidR="00EC7BD6" w:rsidRPr="00E37822">
        <w:rPr>
          <w:rFonts w:ascii="Times New Roman" w:hAnsi="Times New Roman" w:cs="Times New Roman"/>
          <w:sz w:val="28"/>
          <w:szCs w:val="28"/>
        </w:rPr>
        <w:t xml:space="preserve">» </w:t>
      </w:r>
      <w:r w:rsidR="003E5350" w:rsidRPr="00E37822">
        <w:rPr>
          <w:rFonts w:ascii="Times New Roman" w:hAnsi="Times New Roman" w:cs="Times New Roman"/>
          <w:sz w:val="28"/>
          <w:szCs w:val="28"/>
        </w:rPr>
        <w:t>апреля</w:t>
      </w:r>
      <w:r w:rsidR="00EC7BD6" w:rsidRPr="00E37822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313D30" w:rsidRPr="00E37822">
        <w:rPr>
          <w:rFonts w:ascii="Times New Roman CYR" w:hAnsi="Times New Roman CYR" w:cs="Times New Roman CYR"/>
          <w:sz w:val="28"/>
          <w:szCs w:val="28"/>
        </w:rPr>
        <w:t>3</w:t>
      </w:r>
      <w:r w:rsidR="00EC7BD6" w:rsidRPr="00E37822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EC7BD6" w:rsidRDefault="00EC7BD6" w:rsidP="00EC7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Заключение  контрольно-счетно</w:t>
      </w:r>
      <w:r w:rsidR="00DA645E">
        <w:rPr>
          <w:rFonts w:ascii="Times New Roman CYR" w:hAnsi="Times New Roman CYR" w:cs="Times New Roman CYR"/>
          <w:sz w:val="28"/>
          <w:szCs w:val="28"/>
        </w:rPr>
        <w:t>й комиссии</w:t>
      </w:r>
      <w:r>
        <w:rPr>
          <w:rFonts w:ascii="Times New Roman CYR" w:hAnsi="Times New Roman CYR" w:cs="Times New Roman CYR"/>
          <w:sz w:val="28"/>
          <w:szCs w:val="28"/>
        </w:rPr>
        <w:t xml:space="preserve"> Чагодощенского муниципального </w:t>
      </w:r>
      <w:r w:rsidR="00DA645E">
        <w:rPr>
          <w:rFonts w:ascii="Times New Roman CYR" w:hAnsi="Times New Roman CYR" w:cs="Times New Roman CYR"/>
          <w:sz w:val="28"/>
          <w:szCs w:val="28"/>
        </w:rPr>
        <w:t>округа Вологодской области</w:t>
      </w:r>
      <w:r w:rsidR="00313D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(далее контрольно-счетная комиссия) </w:t>
      </w:r>
      <w:r>
        <w:rPr>
          <w:rFonts w:ascii="Times New Roman CYR" w:hAnsi="Times New Roman CYR" w:cs="Times New Roman CYR"/>
          <w:sz w:val="28"/>
          <w:szCs w:val="28"/>
        </w:rPr>
        <w:t>о результатах внешней проверки годовой бюджетной отчетности за 202</w:t>
      </w:r>
      <w:r w:rsidR="00DA645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AC23DA">
        <w:rPr>
          <w:rFonts w:ascii="Times New Roman CYR" w:hAnsi="Times New Roman CYR" w:cs="Times New Roman CYR"/>
          <w:sz w:val="28"/>
          <w:szCs w:val="28"/>
        </w:rPr>
        <w:t xml:space="preserve">Представительного Собрания </w:t>
      </w:r>
      <w:r w:rsidR="000A71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района (далее – </w:t>
      </w:r>
      <w:r w:rsidR="00AC23DA">
        <w:rPr>
          <w:rFonts w:ascii="Times New Roman CYR" w:hAnsi="Times New Roman CYR" w:cs="Times New Roman CYR"/>
          <w:sz w:val="28"/>
          <w:szCs w:val="28"/>
        </w:rPr>
        <w:t>Представительное Собрание</w:t>
      </w:r>
      <w:r>
        <w:rPr>
          <w:rFonts w:ascii="Times New Roman CYR" w:hAnsi="Times New Roman CYR" w:cs="Times New Roman CYR"/>
          <w:sz w:val="28"/>
          <w:szCs w:val="28"/>
        </w:rPr>
        <w:t xml:space="preserve">)  подготовлено  в соответствии  с  Бюджетным  кодексом Российской Федерации, решением Представительного Собрания Чагодощенского муниципального 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A645E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A645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0.20</w:t>
      </w:r>
      <w:r w:rsidR="00DA645E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№2</w:t>
      </w:r>
      <w:r w:rsidR="00DA645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 </w:t>
      </w:r>
      <w:r w:rsidR="00DA645E">
        <w:rPr>
          <w:rFonts w:ascii="Times New Roman CYR" w:hAnsi="Times New Roman CYR" w:cs="Times New Roman CYR"/>
          <w:sz w:val="28"/>
          <w:szCs w:val="28"/>
        </w:rPr>
        <w:t>округе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>»,</w:t>
      </w:r>
      <w:r w:rsidR="0081549F">
        <w:rPr>
          <w:rFonts w:ascii="Times New Roman" w:hAnsi="Times New Roman" w:cs="Times New Roman"/>
          <w:sz w:val="28"/>
          <w:szCs w:val="28"/>
        </w:rPr>
        <w:t xml:space="preserve"> </w:t>
      </w:r>
      <w:r w:rsidR="00DA645E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="00DA645E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Чагодощенского муниципального округа </w:t>
      </w:r>
      <w:proofErr w:type="gramStart"/>
      <w:r w:rsidR="00DA645E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>
        <w:rPr>
          <w:rFonts w:ascii="Times New Roman CYR" w:hAnsi="Times New Roman CYR" w:cs="Times New Roman CYR"/>
          <w:sz w:val="28"/>
          <w:szCs w:val="28"/>
        </w:rPr>
        <w:t>от 2</w:t>
      </w:r>
      <w:r w:rsidR="00DA645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A645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0.20</w:t>
      </w:r>
      <w:r w:rsidR="00DA645E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29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создании контрольно-счетной комиссии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</w:t>
      </w:r>
      <w:r w:rsidR="00DA645E">
        <w:rPr>
          <w:rFonts w:ascii="Times New Roman CYR" w:hAnsi="Times New Roman CYR" w:cs="Times New Roman CYR"/>
          <w:sz w:val="28"/>
          <w:szCs w:val="28"/>
        </w:rPr>
        <w:t>округа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</w:t>
      </w:r>
      <w:r w:rsidR="00DA645E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</w:t>
      </w:r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местного бюджета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утвержденного приказом председателя контрольно-счетной комиссии  от 03.03.2023г. № 18 о/</w:t>
      </w:r>
      <w:proofErr w:type="spellStart"/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 xml:space="preserve"> «Проведение  экспертно - аналитического мероприятия </w:t>
      </w:r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</w:t>
      </w:r>
      <w:r w:rsidR="00DA645E">
        <w:rPr>
          <w:rFonts w:ascii="Times New Roman CYR" w:hAnsi="Times New Roman CYR" w:cs="Times New Roman CYR"/>
          <w:sz w:val="28"/>
          <w:szCs w:val="28"/>
        </w:rPr>
        <w:t>округа Вологодской области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DA64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645E"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EC7BD6" w:rsidRDefault="00EC7BD6" w:rsidP="00EC7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проверка бюджетной отчетности </w:t>
      </w:r>
      <w:r w:rsidR="003E5350">
        <w:rPr>
          <w:rFonts w:ascii="Times New Roman CYR" w:hAnsi="Times New Roman CYR" w:cs="Times New Roman CYR"/>
          <w:sz w:val="28"/>
          <w:szCs w:val="28"/>
        </w:rPr>
        <w:t>Представительного Собрания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проводилась в соответствии с пунктом 1 Плана работы контрольно- счетного отдела на 202</w:t>
      </w:r>
      <w:r w:rsidR="00035C0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год, утвержденного </w:t>
      </w:r>
      <w:r w:rsidR="00035C07">
        <w:rPr>
          <w:rFonts w:ascii="Times New Roman CYR" w:hAnsi="Times New Roman CYR" w:cs="Times New Roman CYR"/>
          <w:sz w:val="28"/>
          <w:szCs w:val="28"/>
        </w:rPr>
        <w:t xml:space="preserve">приказом председателя 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контрольно-счетно</w:t>
      </w:r>
      <w:r w:rsidR="00035C07">
        <w:rPr>
          <w:rFonts w:ascii="Times New Roman CYR" w:hAnsi="Times New Roman CYR" w:cs="Times New Roman CYR"/>
          <w:sz w:val="28"/>
          <w:szCs w:val="28"/>
        </w:rPr>
        <w:t xml:space="preserve">й комиссии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</w:t>
      </w:r>
      <w:r w:rsidR="00035C07"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35C07"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035C0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1.202</w:t>
      </w:r>
      <w:r w:rsidR="00035C0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035C07">
        <w:rPr>
          <w:rFonts w:ascii="Times New Roman CYR" w:hAnsi="Times New Roman CYR" w:cs="Times New Roman CYR"/>
          <w:sz w:val="28"/>
          <w:szCs w:val="28"/>
        </w:rPr>
        <w:t xml:space="preserve"> о/</w:t>
      </w:r>
      <w:proofErr w:type="spellStart"/>
      <w:r w:rsidR="00035C07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C1E69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AC23DA" w:rsidRPr="00BC1E69">
        <w:rPr>
          <w:rFonts w:ascii="Times New Roman CYR" w:hAnsi="Times New Roman CYR" w:cs="Times New Roman CYR"/>
          <w:sz w:val="28"/>
          <w:szCs w:val="28"/>
        </w:rPr>
        <w:t>Представительно</w:t>
      </w:r>
      <w:r w:rsidR="00BC1E69" w:rsidRPr="00BC1E69">
        <w:rPr>
          <w:rFonts w:ascii="Times New Roman CYR" w:hAnsi="Times New Roman CYR" w:cs="Times New Roman CYR"/>
          <w:sz w:val="28"/>
          <w:szCs w:val="28"/>
        </w:rPr>
        <w:t>го</w:t>
      </w:r>
      <w:r w:rsidR="00AC23DA" w:rsidRPr="00BC1E69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BC1E69" w:rsidRPr="00BC1E69">
        <w:rPr>
          <w:rFonts w:ascii="Times New Roman CYR" w:hAnsi="Times New Roman CYR" w:cs="Times New Roman CYR"/>
          <w:sz w:val="28"/>
          <w:szCs w:val="28"/>
        </w:rPr>
        <w:t>я</w:t>
      </w:r>
      <w:r w:rsidR="00AC23DA" w:rsidRPr="00BC1E6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C1E69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проводилась с целью </w:t>
      </w:r>
      <w:r w:rsidRPr="00BC1E69"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</w:t>
      </w:r>
      <w:r>
        <w:rPr>
          <w:rFonts w:ascii="Times New Roman CYR" w:hAnsi="Times New Roman CYR" w:cs="Times New Roman CYR"/>
          <w:sz w:val="28"/>
          <w:szCs w:val="28"/>
        </w:rPr>
        <w:t xml:space="preserve"> от 06.12.2011 №402-ФЗ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распорядителем бюджетных средств и анализа результатов деятельности главного распорядителя бюджетных средств.</w:t>
      </w:r>
    </w:p>
    <w:p w:rsidR="00AC23DA" w:rsidRDefault="00EC7BD6" w:rsidP="00A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BC1E69">
        <w:rPr>
          <w:rFonts w:ascii="Times New Roman CYR" w:hAnsi="Times New Roman CYR" w:cs="Times New Roman CYR"/>
          <w:color w:val="000000"/>
          <w:sz w:val="28"/>
          <w:szCs w:val="28"/>
        </w:rPr>
        <w:t>ликвидатор Представительного Собрания Чагодощенского</w:t>
      </w:r>
      <w:r w:rsidR="00AC23DA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</w:t>
      </w:r>
      <w:r w:rsidR="002D29A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C23DA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2D29A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="00AC23DA">
        <w:rPr>
          <w:rFonts w:ascii="Times New Roman CYR" w:hAnsi="Times New Roman CYR" w:cs="Times New Roman CYR"/>
          <w:color w:val="000000"/>
          <w:sz w:val="28"/>
          <w:szCs w:val="28"/>
        </w:rPr>
        <w:t>осёнков А.В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AC23D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C23DA" w:rsidRPr="00A40CA4">
        <w:rPr>
          <w:rFonts w:ascii="Times New Roman CYR" w:hAnsi="Times New Roman CYR" w:cs="Times New Roman CYR"/>
          <w:sz w:val="28"/>
          <w:szCs w:val="28"/>
        </w:rPr>
        <w:t xml:space="preserve">директор МКУ ЧМР </w:t>
      </w:r>
      <w:r w:rsidR="00AC23DA"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="00AC23DA"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AC23DA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EC7BD6" w:rsidRPr="00EC7BD6" w:rsidRDefault="00EC7BD6" w:rsidP="00AC2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8154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Организационный раздел</w:t>
      </w:r>
    </w:p>
    <w:p w:rsidR="001801A1" w:rsidRDefault="00EC7BD6" w:rsidP="001801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801A1" w:rsidRPr="00BC1E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Представительное Собрание Чагодощенского муниципального района - представительный орган Чагодощенского муниципального района, обладающий правом представлять интересы населения района и принимать от его имени решения, действующие на всей территории района. Представительное Собрание осуществляет свою деятельность в соответствии с законодательством Российской Федерации, Вологодской области, настоящим Уставом, Регламентом Представительного Собрания. Аппарат Представительного Собрания осуществля</w:t>
      </w:r>
      <w:r w:rsidR="0081549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801A1" w:rsidRPr="00BC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 в соответствии с Федеральным законом от 2 марта 2007 года № 25-ФЗ «О  муниципальной службе в Российской Федерации» и принимаемыми в соответствии с ним законами Вологодской области, Уставом Чагодощенского муниципального района и решениями Представительного Собрания.</w:t>
      </w:r>
      <w:r w:rsidR="0081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Представительное Собрание являлось</w:t>
      </w:r>
      <w:r w:rsidR="005E52BD" w:rsidRPr="00BC1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средств.</w:t>
      </w:r>
    </w:p>
    <w:p w:rsidR="00EC7BD6" w:rsidRDefault="00EC7BD6" w:rsidP="001801A1">
      <w:pPr>
        <w:shd w:val="clear" w:color="auto" w:fill="FFFFFF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C1E69">
        <w:rPr>
          <w:rFonts w:ascii="Times New Roman" w:hAnsi="Times New Roman" w:cs="Times New Roman"/>
          <w:sz w:val="28"/>
          <w:szCs w:val="28"/>
        </w:rPr>
        <w:t xml:space="preserve">    </w:t>
      </w:r>
      <w:r w:rsidR="00726FC4">
        <w:rPr>
          <w:rFonts w:ascii="Times New Roman" w:hAnsi="Times New Roman" w:cs="Times New Roman"/>
          <w:sz w:val="28"/>
          <w:szCs w:val="28"/>
        </w:rPr>
        <w:t xml:space="preserve"> </w:t>
      </w:r>
      <w:r w:rsidR="00C76A53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C76A53" w:rsidRPr="00C76A53">
        <w:rPr>
          <w:rFonts w:ascii="Times New Roman" w:eastAsia="Times New Roman" w:hAnsi="Times New Roman" w:cs="Times New Roman"/>
          <w:sz w:val="28"/>
          <w:szCs w:val="28"/>
        </w:rPr>
        <w:t>Представительном Собрании Чагодощенского муниципального района</w:t>
      </w:r>
      <w:r w:rsidR="00C76A53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состоянию на 1 января </w:t>
      </w:r>
      <w:r w:rsidR="00C76A53" w:rsidRPr="00C76A53">
        <w:rPr>
          <w:rFonts w:ascii="Times New Roman" w:eastAsia="Times New Roman" w:hAnsi="Times New Roman" w:cs="Times New Roman"/>
          <w:spacing w:val="10"/>
          <w:sz w:val="28"/>
          <w:szCs w:val="28"/>
        </w:rPr>
        <w:t>2022</w:t>
      </w:r>
      <w:r w:rsidR="00C76A53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штатная численность организации составляла 4,5 единицы. Среднесписочная численность составила 4,5 человека, из них с высшим </w:t>
      </w:r>
      <w:r w:rsidR="00C76A53" w:rsidRPr="00C76A53">
        <w:rPr>
          <w:rFonts w:ascii="Times New Roman" w:eastAsia="Times New Roman" w:hAnsi="Times New Roman" w:cs="Times New Roman"/>
          <w:sz w:val="28"/>
          <w:szCs w:val="28"/>
        </w:rPr>
        <w:t>образованием 4,5 человек, т.е. 100%. По состоянию на 1.01.2023 г. штатная численность отсутствует в связи с ликвидацией организации</w:t>
      </w:r>
      <w:r w:rsidR="00C76A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01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01A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Подведомственных учреждений у </w:t>
      </w:r>
      <w:r w:rsidR="00F17B07">
        <w:rPr>
          <w:rFonts w:ascii="Times New Roman CYR" w:hAnsi="Times New Roman CYR" w:cs="Times New Roman CYR"/>
          <w:color w:val="000000"/>
          <w:sz w:val="28"/>
          <w:szCs w:val="28"/>
        </w:rPr>
        <w:t>Представительного Собрания</w:t>
      </w:r>
      <w:r w:rsidRPr="001801A1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</w:t>
      </w:r>
    </w:p>
    <w:p w:rsidR="00EC7BD6" w:rsidRPr="00EC7BD6" w:rsidRDefault="00EC7BD6" w:rsidP="0018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Бюджетная отчетность главного распорядителя средств районного бюджета за отчетный финансовый год (далее - бюджетная отчетность) за 202</w:t>
      </w:r>
      <w:r w:rsidR="0081549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представлена 2</w:t>
      </w:r>
      <w:r w:rsidR="0081549F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81549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81549F">
        <w:rPr>
          <w:rFonts w:ascii="Times New Roman CYR" w:hAnsi="Times New Roman CYR" w:cs="Times New Roman CYR"/>
          <w:sz w:val="28"/>
          <w:szCs w:val="28"/>
        </w:rPr>
        <w:t>ую комиссию</w:t>
      </w:r>
      <w:r>
        <w:rPr>
          <w:rFonts w:ascii="Times New Roman CYR" w:hAnsi="Times New Roman CYR" w:cs="Times New Roman CYR"/>
          <w:sz w:val="28"/>
          <w:szCs w:val="28"/>
        </w:rPr>
        <w:t>, что соответствует сроку представления годовой бюджетной отчетности, установленному решением Представительному Собранию Чагодощенского</w:t>
      </w:r>
      <w:r w:rsidR="0081549F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549F">
        <w:rPr>
          <w:rFonts w:ascii="Times New Roman CYR" w:hAnsi="Times New Roman CYR" w:cs="Times New Roman CYR"/>
          <w:sz w:val="28"/>
          <w:szCs w:val="28"/>
        </w:rPr>
        <w:t xml:space="preserve">от 27.10.2022 года №23 </w:t>
      </w:r>
      <w:r w:rsidR="0081549F" w:rsidRPr="00EC7BD6">
        <w:rPr>
          <w:rFonts w:ascii="Times New Roman" w:hAnsi="Times New Roman" w:cs="Times New Roman"/>
          <w:sz w:val="28"/>
          <w:szCs w:val="28"/>
        </w:rPr>
        <w:t>«</w:t>
      </w:r>
      <w:r w:rsidR="0081549F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81549F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81549F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81549F" w:rsidRPr="00EC7BD6">
        <w:rPr>
          <w:rFonts w:ascii="Times New Roman" w:hAnsi="Times New Roman" w:cs="Times New Roman"/>
          <w:sz w:val="28"/>
          <w:szCs w:val="28"/>
        </w:rPr>
        <w:t>»</w:t>
      </w:r>
      <w:r w:rsidR="002D29AD">
        <w:rPr>
          <w:rFonts w:ascii="Times New Roman" w:hAnsi="Times New Roman" w:cs="Times New Roman"/>
          <w:sz w:val="28"/>
          <w:szCs w:val="28"/>
        </w:rPr>
        <w:t>.</w:t>
      </w: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Бюджетная отчетность составлена в соответствии с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 Организация бюджетного учета осуществляется в соответствии с Единым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EC7BD6" w:rsidRPr="00D54221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483C7A" w:rsidRPr="00483C7A" w:rsidRDefault="00483C7A" w:rsidP="00483C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   </w:t>
      </w:r>
      <w:proofErr w:type="gramStart"/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="00C76A53"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</w:t>
      </w:r>
      <w:r w:rsidR="00C76A53"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Представительного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Собрания </w:t>
      </w:r>
      <w:r w:rsidR="00C76A53"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Чагодощенского </w:t>
      </w:r>
      <w:r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округа </w:t>
      </w:r>
      <w:r w:rsidR="00C76A53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№ 26 от 27.10.2022г. «О ликвидации Представительного Собрания и Советов городских поселений Чагодощенского муниципального</w:t>
      </w:r>
      <w:proofErr w:type="gramEnd"/>
      <w:r w:rsidR="00C76A53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района»    начата процедура ликвидации</w:t>
      </w:r>
      <w:r w:rsidR="00C76A53" w:rsidRPr="00EA101D">
        <w:rPr>
          <w:rFonts w:eastAsia="Times New Roman"/>
          <w:spacing w:val="-1"/>
          <w:sz w:val="28"/>
          <w:szCs w:val="28"/>
        </w:rPr>
        <w:t xml:space="preserve"> </w:t>
      </w:r>
      <w:r w:rsidR="00C76A53" w:rsidRPr="00597DD5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Представительного Собрания Чагодощенского муниципального района</w:t>
      </w:r>
      <w:r w:rsidR="00C76A53" w:rsidRPr="00EA101D">
        <w:rPr>
          <w:rFonts w:eastAsia="Times New Roman"/>
          <w:spacing w:val="-1"/>
          <w:sz w:val="28"/>
          <w:szCs w:val="28"/>
        </w:rPr>
        <w:t xml:space="preserve">. 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 Запись о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принятии 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начале процедуры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ликвидации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 юридического лица в форме присоединения к другому юридическому лицу в ЕГРЮЛ внесена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18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>.1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1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.2022. На конец отчетного периода юридическое лицо находится в стадии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ликвидации</w:t>
      </w:r>
      <w:r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. </w:t>
      </w:r>
    </w:p>
    <w:p w:rsidR="00483C7A" w:rsidRDefault="00483C7A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7BD6" w:rsidRDefault="00EC7BD6" w:rsidP="00EC7BD6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7BD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BD6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годовой бюджетной отчетности </w:t>
      </w:r>
      <w:r w:rsidR="000E7F35">
        <w:rPr>
          <w:rFonts w:ascii="Times New Roman CYR" w:hAnsi="Times New Roman CYR" w:cs="Times New Roman CYR"/>
          <w:i/>
          <w:iCs/>
          <w:sz w:val="28"/>
          <w:szCs w:val="28"/>
        </w:rPr>
        <w:t>Представительного Собрания.</w:t>
      </w:r>
    </w:p>
    <w:p w:rsidR="00EC7BD6" w:rsidRPr="00EC7BD6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ходе анализа представленной к проверке бюджетной отчетности </w:t>
      </w:r>
      <w:r w:rsidR="00A6403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Представительного Собрания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81549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E37822" w:rsidRDefault="00EC7BD6" w:rsidP="00767698">
      <w:pPr>
        <w:shd w:val="clear" w:color="auto" w:fill="FFFFFF"/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бюджетной отчетности </w:t>
      </w:r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Сведения об исполнении мероприятий в рамках целевых програм</w:t>
      </w:r>
      <w:proofErr w:type="gramStart"/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ф.0503166)</w:t>
      </w:r>
      <w:r w:rsidR="00597D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7DD5" w:rsidRPr="00597D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Сведения о целевых </w:t>
      </w:r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иностранных кредитах (ф. 0503167),</w:t>
      </w:r>
      <w:r w:rsidR="00597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(форма 0503171)</w:t>
      </w:r>
      <w:r w:rsidR="00597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Сведения о государственном (муниципальном) долге, представленных бюджетных кредитах (ф.0503172),</w:t>
      </w:r>
      <w:r w:rsidR="00597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D5" w:rsidRPr="00597DD5">
        <w:rPr>
          <w:rFonts w:ascii="Times New Roman" w:eastAsia="Times New Roman" w:hAnsi="Times New Roman" w:cs="Times New Roman"/>
          <w:sz w:val="28"/>
          <w:szCs w:val="28"/>
        </w:rPr>
        <w:t>Сведения об изменении остатков валюты баланса (ф. 0503173</w:t>
      </w:r>
      <w:r w:rsidR="00597DD5" w:rsidRPr="00597DD5">
        <w:rPr>
          <w:rFonts w:ascii="Times New Roman" w:eastAsia="Times New Roman" w:hAnsi="Times New Roman" w:cs="Times New Roman"/>
          <w:bCs/>
          <w:sz w:val="28"/>
          <w:szCs w:val="28"/>
        </w:rPr>
        <w:t>), Сведения о доходах бюджета от перечисления части прибыли государственных унитарных предприятий,</w:t>
      </w:r>
      <w:r w:rsidR="00597D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7DD5" w:rsidRPr="00597D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иных организаций с </w:t>
      </w:r>
      <w:r w:rsidR="00597DD5" w:rsidRPr="00FA719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государственным участием в капитал</w:t>
      </w:r>
      <w:proofErr w:type="gramStart"/>
      <w:r w:rsidR="00597DD5" w:rsidRPr="00FA719B">
        <w:rPr>
          <w:rFonts w:ascii="Times New Roman" w:eastAsia="Times New Roman" w:hAnsi="Times New Roman" w:cs="Times New Roman"/>
          <w:bCs/>
          <w:sz w:val="28"/>
          <w:szCs w:val="28"/>
        </w:rPr>
        <w:t>е(</w:t>
      </w:r>
      <w:proofErr w:type="gramEnd"/>
      <w:r w:rsidR="00597DD5" w:rsidRPr="00FA719B">
        <w:rPr>
          <w:rFonts w:ascii="Times New Roman" w:eastAsia="Times New Roman" w:hAnsi="Times New Roman" w:cs="Times New Roman"/>
          <w:bCs/>
          <w:sz w:val="28"/>
          <w:szCs w:val="28"/>
        </w:rPr>
        <w:t xml:space="preserve">ф.0503174), -Сведения о принятых и неисполненных обязательствах получателя бюджетных средств (форма 0503175), Сведения об 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</w:rPr>
        <w:t xml:space="preserve">остатках денежных средств на счетах(ф.0503178), Справка о суммах консолидируемых поступлений, подлежащих зачислению на счет бюджет (ф.0503184), Минусовый отчет по </w:t>
      </w:r>
      <w:r w:rsidR="00597DD5" w:rsidRPr="00FA719B">
        <w:rPr>
          <w:rFonts w:ascii="Times New Roman" w:eastAsia="Times New Roman" w:hAnsi="Times New Roman" w:cs="Times New Roman"/>
          <w:bCs/>
          <w:sz w:val="28"/>
          <w:szCs w:val="28"/>
        </w:rPr>
        <w:t>ф.168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</w:rPr>
        <w:t xml:space="preserve">(ф.0503168КОР), Сведения о вложениях в объекты недвижимого имущества, объектах незавершенного </w:t>
      </w:r>
      <w:proofErr w:type="gramStart"/>
      <w:r w:rsidR="00597DD5" w:rsidRPr="00FA719B">
        <w:rPr>
          <w:rFonts w:ascii="Times New Roman" w:eastAsia="Times New Roman" w:hAnsi="Times New Roman" w:cs="Times New Roman"/>
          <w:sz w:val="28"/>
          <w:szCs w:val="28"/>
        </w:rPr>
        <w:t>строительства (ф.0503190), Отчет об использовании межбюджетных трансфертов (ф. 0503324), Отчет об использовании межбюджетных трансфертов (ф. 0503324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  <w:lang w:val="en-US"/>
        </w:rPr>
        <w:t>OBL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</w:rPr>
        <w:t xml:space="preserve">), Отчет об использовании межбюджетных трансфертов из федерального бюджета, субъектов РФ, МО и ТГВФ (ф. 0503324), Сведения о вложениях в объекты недвижимого имущества (ф. 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597DD5" w:rsidRPr="00FA719B">
        <w:rPr>
          <w:rFonts w:ascii="Times New Roman" w:eastAsia="Times New Roman" w:hAnsi="Times New Roman" w:cs="Times New Roman"/>
          <w:sz w:val="28"/>
          <w:szCs w:val="28"/>
        </w:rPr>
        <w:t xml:space="preserve"> 35-005)</w:t>
      </w:r>
      <w:r w:rsidRPr="00FA719B">
        <w:rPr>
          <w:rFonts w:ascii="Times New Roman CYR" w:hAnsi="Times New Roman CYR" w:cs="Times New Roman CYR"/>
          <w:sz w:val="28"/>
          <w:szCs w:val="28"/>
        </w:rPr>
        <w:t xml:space="preserve">, не имеющие числовых значений показателей и не включенные в состав бюджетной отчетности, отражены в разделе 5 </w:t>
      </w:r>
      <w:r w:rsidRPr="00FA719B">
        <w:rPr>
          <w:rFonts w:ascii="Times New Roman" w:hAnsi="Times New Roman" w:cs="Times New Roman"/>
          <w:sz w:val="28"/>
          <w:szCs w:val="28"/>
        </w:rPr>
        <w:t>«</w:t>
      </w:r>
      <w:r w:rsidRPr="00FA719B">
        <w:rPr>
          <w:rFonts w:ascii="Times New Roman CYR" w:hAnsi="Times New Roman CYR" w:cs="Times New Roman CYR"/>
          <w:sz w:val="28"/>
          <w:szCs w:val="28"/>
        </w:rPr>
        <w:t>Прочие вопросы</w:t>
      </w:r>
      <w:proofErr w:type="gramEnd"/>
      <w:r w:rsidRPr="00FA719B">
        <w:rPr>
          <w:rFonts w:ascii="Times New Roman CYR" w:hAnsi="Times New Roman CYR" w:cs="Times New Roman CYR"/>
          <w:sz w:val="28"/>
          <w:szCs w:val="28"/>
        </w:rPr>
        <w:t xml:space="preserve"> деятельности субъекта бюджетной отчетности</w:t>
      </w:r>
      <w:r w:rsidRPr="00FA719B">
        <w:rPr>
          <w:rFonts w:ascii="Times New Roman" w:hAnsi="Times New Roman" w:cs="Times New Roman"/>
          <w:sz w:val="28"/>
          <w:szCs w:val="28"/>
        </w:rPr>
        <w:t>»</w:t>
      </w:r>
      <w:r w:rsidRPr="00FA719B">
        <w:rPr>
          <w:rFonts w:ascii="Times New Roman CYR" w:hAnsi="Times New Roman CYR" w:cs="Times New Roman CYR"/>
          <w:sz w:val="28"/>
          <w:szCs w:val="28"/>
        </w:rPr>
        <w:t>, что соответствует требованиям пунктов</w:t>
      </w:r>
      <w:r>
        <w:rPr>
          <w:rFonts w:ascii="Times New Roman CYR" w:hAnsi="Times New Roman CYR" w:cs="Times New Roman CYR"/>
          <w:sz w:val="28"/>
          <w:szCs w:val="28"/>
        </w:rPr>
        <w:t xml:space="preserve"> 8, 152 Инструкции № 191н.</w:t>
      </w:r>
      <w:r w:rsidR="008B428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67698" w:rsidRDefault="00767698" w:rsidP="00767698">
      <w:pPr>
        <w:shd w:val="clear" w:color="auto" w:fill="FFFFFF"/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="00EC7BD6" w:rsidRPr="00EC7BD6">
        <w:rPr>
          <w:rFonts w:ascii="Times New Roman" w:hAnsi="Times New Roman" w:cs="Times New Roman"/>
          <w:sz w:val="28"/>
          <w:szCs w:val="28"/>
        </w:rPr>
        <w:t>«</w:t>
      </w:r>
      <w:r w:rsidR="00EC7BD6"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="00EC7BD6"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EC7BD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представлена, информация о факте проведения годовой инвентаризации отражена в текстовой части раздела 5 </w:t>
      </w:r>
      <w:r w:rsidR="00EC7BD6" w:rsidRPr="00EC7BD6">
        <w:rPr>
          <w:rFonts w:ascii="Times New Roman" w:hAnsi="Times New Roman" w:cs="Times New Roman"/>
          <w:sz w:val="28"/>
          <w:szCs w:val="28"/>
        </w:rPr>
        <w:t>«</w:t>
      </w:r>
      <w:r w:rsidR="00EC7BD6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="00EC7BD6"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EC7BD6"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</w:p>
    <w:p w:rsidR="00EC7BD6" w:rsidRDefault="00767698" w:rsidP="00767698">
      <w:pPr>
        <w:shd w:val="clear" w:color="auto" w:fill="FFFFFF"/>
        <w:tabs>
          <w:tab w:val="left" w:pos="567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gramStart"/>
      <w:r w:rsidR="00EC7BD6"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районного бюджета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 w:rsidR="00EC7BD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наличия в годовой бюджетной отчетности </w:t>
      </w:r>
      <w:r w:rsidR="009436DA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767698">
        <w:rPr>
          <w:rFonts w:ascii="Times New Roman CYR" w:hAnsi="Times New Roman CYR" w:cs="Times New Roman CYR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4A394E">
        <w:rPr>
          <w:rFonts w:ascii="Times New Roman CYR" w:hAnsi="Times New Roman CYR" w:cs="Times New Roman CYR"/>
          <w:sz w:val="28"/>
          <w:szCs w:val="28"/>
        </w:rPr>
        <w:t>Представительного Собрания</w:t>
      </w:r>
      <w:r>
        <w:rPr>
          <w:rFonts w:ascii="Times New Roman CYR" w:hAnsi="Times New Roman CYR" w:cs="Times New Roman CYR"/>
          <w:sz w:val="28"/>
          <w:szCs w:val="28"/>
        </w:rPr>
        <w:t xml:space="preserve"> (форма 0503130) сформирован по состоянию на 1 января 202</w:t>
      </w:r>
      <w:r w:rsidR="0076769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05">
        <w:rPr>
          <w:rFonts w:ascii="Times New Roman" w:hAnsi="Times New Roman" w:cs="Times New Roman"/>
          <w:sz w:val="28"/>
          <w:szCs w:val="28"/>
        </w:rPr>
        <w:t xml:space="preserve">- </w:t>
      </w:r>
      <w:r w:rsidRPr="005B2605"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5B2605">
        <w:rPr>
          <w:rFonts w:ascii="Times New Roman" w:hAnsi="Times New Roman" w:cs="Times New Roman"/>
          <w:sz w:val="28"/>
          <w:szCs w:val="28"/>
        </w:rPr>
        <w:t>«</w:t>
      </w:r>
      <w:r w:rsidRPr="005B2605"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5B2605">
        <w:rPr>
          <w:rFonts w:ascii="Times New Roman" w:hAnsi="Times New Roman" w:cs="Times New Roman"/>
          <w:sz w:val="28"/>
          <w:szCs w:val="28"/>
        </w:rPr>
        <w:t xml:space="preserve">» </w:t>
      </w:r>
      <w:r w:rsidRPr="005B2605"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5B2605">
        <w:rPr>
          <w:rFonts w:ascii="Times New Roman" w:hAnsi="Times New Roman" w:cs="Times New Roman"/>
          <w:sz w:val="28"/>
          <w:szCs w:val="28"/>
        </w:rPr>
        <w:t>«</w:t>
      </w:r>
      <w:r w:rsidRPr="005B2605"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5B2605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EC7BD6">
        <w:rPr>
          <w:rFonts w:ascii="Times New Roman" w:hAnsi="Times New Roman" w:cs="Times New Roman"/>
          <w:sz w:val="28"/>
          <w:szCs w:val="28"/>
        </w:rPr>
        <w:t>».</w:t>
      </w:r>
    </w:p>
    <w:p w:rsidR="00BE3049" w:rsidRPr="002D29AD" w:rsidRDefault="00BE3049" w:rsidP="00BE304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29AD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2D29AD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2D29AD">
        <w:rPr>
          <w:rFonts w:ascii="Times New Roman CYR" w:hAnsi="Times New Roman CYR" w:cs="Times New Roman CYR"/>
          <w:sz w:val="28"/>
          <w:szCs w:val="28"/>
        </w:rPr>
        <w:t xml:space="preserve"> счетах, </w:t>
      </w:r>
      <w:r w:rsidRPr="002D29AD">
        <w:rPr>
          <w:rFonts w:ascii="Times New Roman CYR" w:hAnsi="Times New Roman CYR" w:cs="Times New Roman CYR"/>
          <w:color w:val="000000"/>
          <w:sz w:val="28"/>
          <w:szCs w:val="28"/>
        </w:rPr>
        <w:t>в которой на конец отчетного периода имущество</w:t>
      </w:r>
      <w:r w:rsidR="005B2605" w:rsidRPr="002D29AD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числится</w:t>
      </w:r>
      <w:r w:rsidR="00281545">
        <w:rPr>
          <w:rFonts w:ascii="Times New Roman CYR" w:hAnsi="Times New Roman CYR" w:cs="Times New Roman CYR"/>
          <w:color w:val="000000"/>
          <w:sz w:val="28"/>
          <w:szCs w:val="28"/>
        </w:rPr>
        <w:t xml:space="preserve">, в связи с </w:t>
      </w:r>
      <w:r w:rsidR="0028154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ликвидацией организации основные средства списаны как технически устаревшие и пришедшие в негодность на основании актов</w:t>
      </w:r>
      <w:r w:rsidR="006A085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списание</w:t>
      </w:r>
      <w:r w:rsidR="005B2605" w:rsidRPr="002D29A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EC7BD6" w:rsidRDefault="00EC7BD6" w:rsidP="003A14C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5B2605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5B2605"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5B2605">
        <w:rPr>
          <w:rFonts w:ascii="Times New Roman" w:hAnsi="Times New Roman" w:cs="Times New Roman"/>
          <w:sz w:val="28"/>
          <w:szCs w:val="28"/>
        </w:rPr>
        <w:t>«</w:t>
      </w:r>
      <w:r w:rsidRPr="005B2605"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5B2605">
        <w:rPr>
          <w:rFonts w:ascii="Times New Roman" w:hAnsi="Times New Roman" w:cs="Times New Roman"/>
          <w:sz w:val="28"/>
          <w:szCs w:val="28"/>
        </w:rPr>
        <w:t xml:space="preserve">» </w:t>
      </w:r>
      <w:r w:rsidRPr="005B2605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одноименными показателями решения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Представительного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Собрания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Чагодощенского 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A54FA2">
        <w:rPr>
          <w:rFonts w:ascii="Times New Roman CYR" w:hAnsi="Times New Roman CYR" w:cs="Times New Roman CYR"/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от 2</w:t>
      </w:r>
      <w:r w:rsidR="001F6A5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.12.202</w:t>
      </w:r>
      <w:r w:rsidR="001F6A5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A71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6A57">
        <w:rPr>
          <w:rFonts w:ascii="Times New Roman CYR" w:hAnsi="Times New Roman CYR" w:cs="Times New Roman CYR"/>
          <w:sz w:val="28"/>
          <w:szCs w:val="28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</w:t>
      </w:r>
      <w:r w:rsidR="00C116F9">
        <w:rPr>
          <w:rFonts w:ascii="Times New Roman CYR" w:hAnsi="Times New Roman CYR" w:cs="Times New Roman CYR"/>
          <w:sz w:val="28"/>
          <w:szCs w:val="28"/>
        </w:rPr>
        <w:t>Представительного Собрания</w:t>
      </w:r>
      <w:r w:rsidR="0082032E" w:rsidRPr="0082032E">
        <w:rPr>
          <w:rFonts w:ascii="Times New Roman CYR" w:hAnsi="Times New Roman CYR" w:cs="Times New Roman CYR"/>
          <w:sz w:val="28"/>
          <w:szCs w:val="28"/>
        </w:rPr>
        <w:t xml:space="preserve"> "О бюджете Чагодощенского  муниципального района на 202</w:t>
      </w:r>
      <w:r w:rsidR="001F6A57">
        <w:rPr>
          <w:rFonts w:ascii="Times New Roman CYR" w:hAnsi="Times New Roman CYR" w:cs="Times New Roman CYR"/>
          <w:sz w:val="28"/>
          <w:szCs w:val="28"/>
        </w:rPr>
        <w:t>2</w:t>
      </w:r>
      <w:r w:rsidR="0082032E" w:rsidRPr="0082032E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1F6A57">
        <w:rPr>
          <w:rFonts w:ascii="Times New Roman CYR" w:hAnsi="Times New Roman CYR" w:cs="Times New Roman CYR"/>
          <w:sz w:val="28"/>
          <w:szCs w:val="28"/>
        </w:rPr>
        <w:t>3</w:t>
      </w:r>
      <w:r w:rsidR="0082032E" w:rsidRPr="0082032E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1F6A57">
        <w:rPr>
          <w:rFonts w:ascii="Times New Roman CYR" w:hAnsi="Times New Roman CYR" w:cs="Times New Roman CYR"/>
          <w:sz w:val="28"/>
          <w:szCs w:val="28"/>
        </w:rPr>
        <w:t>4</w:t>
      </w:r>
      <w:r w:rsidR="0082032E" w:rsidRPr="0082032E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расхождений не </w:t>
      </w:r>
      <w:r w:rsidR="001F6A57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становлено. Показатели кассового исполнения бюджета, отраженные в бухгалтерской отчетности, не превышают плановые показатели, утвержденные решением о районном бюджете и сводной бюджетной росписью на отчетный финансовый год.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4A394E"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="0082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бюджетные обязательства в сумме </w:t>
      </w:r>
      <w:r w:rsidR="00544C88">
        <w:rPr>
          <w:rFonts w:ascii="Times New Roman CYR" w:hAnsi="Times New Roman CYR" w:cs="Times New Roman CYR"/>
          <w:sz w:val="28"/>
          <w:szCs w:val="28"/>
        </w:rPr>
        <w:t>6497,7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приняты в пределах, утвержденных на 202</w:t>
      </w:r>
      <w:r w:rsidR="00544C8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544C88">
        <w:rPr>
          <w:rFonts w:ascii="Times New Roman CYR" w:hAnsi="Times New Roman CYR" w:cs="Times New Roman CYR"/>
          <w:sz w:val="28"/>
          <w:szCs w:val="28"/>
        </w:rPr>
        <w:t>6541,4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рублей).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 структуре и содержанию соответствует требованиям, содержащимся в пункте 152 Инструкции № 191н.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72E78"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 w:rsidRPr="00872E78">
        <w:rPr>
          <w:rFonts w:ascii="Times New Roman CYR" w:hAnsi="Times New Roman CYR" w:cs="Times New Roman CYR"/>
          <w:sz w:val="28"/>
          <w:szCs w:val="28"/>
        </w:rPr>
        <w:t xml:space="preserve"> вышеуказанных форм, по состоянию на 01.01.202</w:t>
      </w:r>
      <w:r w:rsidR="002D29AD" w:rsidRPr="00872E78">
        <w:rPr>
          <w:rFonts w:ascii="Times New Roman CYR" w:hAnsi="Times New Roman CYR" w:cs="Times New Roman CYR"/>
          <w:sz w:val="28"/>
          <w:szCs w:val="28"/>
        </w:rPr>
        <w:t>2</w:t>
      </w:r>
      <w:r w:rsidRPr="00872E78"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</w:t>
      </w:r>
      <w:r w:rsidR="002D29AD" w:rsidRPr="00872E78">
        <w:rPr>
          <w:rFonts w:ascii="Times New Roman CYR" w:hAnsi="Times New Roman CYR" w:cs="Times New Roman CYR"/>
          <w:sz w:val="28"/>
          <w:szCs w:val="28"/>
        </w:rPr>
        <w:t>ла 377</w:t>
      </w:r>
      <w:r w:rsidR="00872E78" w:rsidRPr="00872E78">
        <w:rPr>
          <w:rFonts w:ascii="Times New Roman CYR" w:hAnsi="Times New Roman CYR" w:cs="Times New Roman CYR"/>
          <w:sz w:val="28"/>
          <w:szCs w:val="28"/>
        </w:rPr>
        <w:t>,</w:t>
      </w:r>
      <w:r w:rsidR="00544C88" w:rsidRPr="00872E78">
        <w:rPr>
          <w:rFonts w:ascii="Times New Roman CYR" w:hAnsi="Times New Roman CYR" w:cs="Times New Roman CYR"/>
          <w:sz w:val="28"/>
          <w:szCs w:val="28"/>
        </w:rPr>
        <w:t>0</w:t>
      </w:r>
      <w:r w:rsidR="00957B4C" w:rsidRPr="00872E78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872E78" w:rsidRPr="00872E78">
        <w:rPr>
          <w:rFonts w:ascii="Times New Roman CYR" w:hAnsi="Times New Roman CYR" w:cs="Times New Roman CYR"/>
          <w:sz w:val="28"/>
          <w:szCs w:val="28"/>
        </w:rPr>
        <w:t xml:space="preserve">, в </w:t>
      </w:r>
      <w:r w:rsidRPr="00872E78">
        <w:rPr>
          <w:rFonts w:ascii="Times New Roman CYR" w:hAnsi="Times New Roman CYR" w:cs="Times New Roman CYR"/>
          <w:sz w:val="28"/>
          <w:szCs w:val="28"/>
        </w:rPr>
        <w:t xml:space="preserve"> течение отчетного периода </w:t>
      </w:r>
      <w:r w:rsidR="0082032E" w:rsidRPr="00872E78">
        <w:rPr>
          <w:rFonts w:ascii="Times New Roman CYR" w:hAnsi="Times New Roman CYR" w:cs="Times New Roman CYR"/>
          <w:sz w:val="28"/>
          <w:szCs w:val="28"/>
        </w:rPr>
        <w:t xml:space="preserve">поступило </w:t>
      </w:r>
      <w:r w:rsidRPr="00872E78">
        <w:rPr>
          <w:rFonts w:ascii="Times New Roman CYR" w:hAnsi="Times New Roman CYR" w:cs="Times New Roman CYR"/>
          <w:sz w:val="28"/>
          <w:szCs w:val="28"/>
        </w:rPr>
        <w:t xml:space="preserve">основных средств </w:t>
      </w:r>
      <w:r w:rsidR="0082032E" w:rsidRPr="00872E78">
        <w:rPr>
          <w:rFonts w:ascii="Times New Roman CYR" w:hAnsi="Times New Roman CYR" w:cs="Times New Roman CYR"/>
          <w:sz w:val="28"/>
          <w:szCs w:val="28"/>
        </w:rPr>
        <w:t xml:space="preserve">на сумму </w:t>
      </w:r>
      <w:r w:rsidR="00872E78" w:rsidRPr="00872E78">
        <w:rPr>
          <w:rFonts w:ascii="Times New Roman CYR" w:hAnsi="Times New Roman CYR" w:cs="Times New Roman CYR"/>
          <w:sz w:val="28"/>
          <w:szCs w:val="28"/>
        </w:rPr>
        <w:t>39,4</w:t>
      </w:r>
      <w:r w:rsidR="0082032E" w:rsidRPr="00872E78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872E78" w:rsidRPr="00872E78">
        <w:rPr>
          <w:rFonts w:ascii="Times New Roman CYR" w:hAnsi="Times New Roman CYR" w:cs="Times New Roman CYR"/>
          <w:sz w:val="28"/>
          <w:szCs w:val="28"/>
        </w:rPr>
        <w:t>. В связи с ликвидацией организации в порядке межбюджетных отношений</w:t>
      </w:r>
      <w:r w:rsidR="00872E78">
        <w:rPr>
          <w:rFonts w:ascii="Times New Roman CYR" w:hAnsi="Times New Roman CYR" w:cs="Times New Roman CYR"/>
          <w:sz w:val="28"/>
          <w:szCs w:val="28"/>
        </w:rPr>
        <w:t xml:space="preserve"> основные средства на общую сумму 341,6 тыс</w:t>
      </w:r>
      <w:proofErr w:type="gramStart"/>
      <w:r w:rsidR="00872E78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72E78">
        <w:rPr>
          <w:rFonts w:ascii="Times New Roman CYR" w:hAnsi="Times New Roman CYR" w:cs="Times New Roman CYR"/>
          <w:sz w:val="28"/>
          <w:szCs w:val="28"/>
        </w:rPr>
        <w:t>ублей переданы в Комитет по управлению муниципальным имущество</w:t>
      </w:r>
      <w:r w:rsidR="00FA719B">
        <w:rPr>
          <w:rFonts w:ascii="Times New Roman CYR" w:hAnsi="Times New Roman CYR" w:cs="Times New Roman CYR"/>
          <w:sz w:val="28"/>
          <w:szCs w:val="28"/>
        </w:rPr>
        <w:t>м, балансовая стоимость на 01.01.2023 года составляет 0,0 тыс. рублей.</w:t>
      </w:r>
    </w:p>
    <w:p w:rsidR="00EC7BD6" w:rsidRPr="0012625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3. Результаты  проверки  и  анализа  исполнения  бюджета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>Чагодощенского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4A74A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муниципального</w:t>
      </w:r>
      <w:r w:rsidR="004A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F65FF2">
        <w:rPr>
          <w:rFonts w:ascii="Times New Roman" w:hAnsi="Times New Roman" w:cs="Times New Roman"/>
          <w:b/>
          <w:bCs/>
          <w:sz w:val="28"/>
          <w:szCs w:val="28"/>
        </w:rPr>
        <w:t>Представительным Собранием</w:t>
      </w: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BD6" w:rsidRPr="00126256" w:rsidRDefault="00EC7BD6" w:rsidP="00DD592E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25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1801A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. Результаты проверки и анализа исполнения бюджета </w:t>
      </w:r>
      <w:r w:rsidR="002E3F5A" w:rsidRPr="001801A1">
        <w:rPr>
          <w:rFonts w:ascii="Times New Roman" w:hAnsi="Times New Roman" w:cs="Times New Roman"/>
          <w:i/>
          <w:iCs/>
          <w:sz w:val="28"/>
          <w:szCs w:val="28"/>
        </w:rPr>
        <w:t xml:space="preserve">Чагодощенского </w:t>
      </w:r>
      <w:r w:rsidR="004A74AB" w:rsidRPr="001801A1">
        <w:rPr>
          <w:rFonts w:ascii="Times New Roman" w:eastAsia="Calibri" w:hAnsi="Times New Roman" w:cs="Times New Roman"/>
          <w:bCs/>
          <w:i/>
          <w:kern w:val="1"/>
          <w:sz w:val="28"/>
          <w:szCs w:val="28"/>
          <w:lang w:eastAsia="ar-SA"/>
        </w:rPr>
        <w:t>муниципального</w:t>
      </w:r>
      <w:r w:rsidR="004A74AB"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района </w:t>
      </w:r>
      <w:r w:rsidR="001801A1">
        <w:rPr>
          <w:rFonts w:ascii="Times New Roman CYR" w:hAnsi="Times New Roman CYR" w:cs="Times New Roman CYR"/>
          <w:i/>
          <w:iCs/>
          <w:sz w:val="28"/>
          <w:szCs w:val="28"/>
        </w:rPr>
        <w:t>Представительного Собрани</w:t>
      </w:r>
      <w:r w:rsidR="00DD592E">
        <w:rPr>
          <w:rFonts w:ascii="Times New Roman CYR" w:hAnsi="Times New Roman CYR" w:cs="Times New Roman CYR"/>
          <w:i/>
          <w:iCs/>
          <w:sz w:val="28"/>
          <w:szCs w:val="28"/>
        </w:rPr>
        <w:t xml:space="preserve">я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>по расходам</w:t>
      </w:r>
      <w:r w:rsidR="00DD59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C7BD6" w:rsidRPr="00146DF9" w:rsidRDefault="00EC7BD6" w:rsidP="001801A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о районном бюджете  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12625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412649" w:rsidRPr="00126256">
        <w:rPr>
          <w:rFonts w:ascii="Times New Roman" w:hAnsi="Times New Roman" w:cs="Times New Roman"/>
          <w:sz w:val="28"/>
          <w:szCs w:val="28"/>
        </w:rPr>
        <w:t>2</w:t>
      </w:r>
      <w:r w:rsidR="00247BFD"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.12.202</w:t>
      </w:r>
      <w:r w:rsidR="00247BFD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 w:rsidR="00247BFD">
        <w:rPr>
          <w:rFonts w:ascii="Times New Roman" w:hAnsi="Times New Roman" w:cs="Times New Roman"/>
          <w:sz w:val="28"/>
          <w:szCs w:val="28"/>
        </w:rPr>
        <w:t>90</w:t>
      </w:r>
      <w:r w:rsidRPr="00126256">
        <w:rPr>
          <w:rFonts w:ascii="Times New Roman" w:hAnsi="Times New Roman" w:cs="Times New Roman"/>
          <w:sz w:val="28"/>
          <w:szCs w:val="28"/>
        </w:rPr>
        <w:t xml:space="preserve"> «</w:t>
      </w:r>
      <w:r w:rsidR="00412649" w:rsidRPr="00126256">
        <w:rPr>
          <w:rFonts w:ascii="Times New Roman" w:hAnsi="Times New Roman" w:cs="Times New Roman"/>
          <w:sz w:val="28"/>
          <w:szCs w:val="28"/>
        </w:rPr>
        <w:t>О бюджете Чагодощенского муниципального района на 202</w:t>
      </w:r>
      <w:r w:rsidR="00247BFD">
        <w:rPr>
          <w:rFonts w:ascii="Times New Roman" w:hAnsi="Times New Roman" w:cs="Times New Roman"/>
          <w:sz w:val="28"/>
          <w:szCs w:val="28"/>
        </w:rPr>
        <w:t>2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47BFD">
        <w:rPr>
          <w:rFonts w:ascii="Times New Roman" w:hAnsi="Times New Roman" w:cs="Times New Roman"/>
          <w:sz w:val="28"/>
          <w:szCs w:val="28"/>
        </w:rPr>
        <w:t>3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 w:rsidR="00247BFD">
        <w:rPr>
          <w:rFonts w:ascii="Times New Roman" w:hAnsi="Times New Roman" w:cs="Times New Roman"/>
          <w:sz w:val="28"/>
          <w:szCs w:val="28"/>
        </w:rPr>
        <w:t>4</w:t>
      </w:r>
      <w:r w:rsidR="00B47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801A1" w:rsidRPr="001801A1">
        <w:rPr>
          <w:rFonts w:ascii="Times New Roman CYR" w:hAnsi="Times New Roman CYR" w:cs="Times New Roman CYR"/>
          <w:iCs/>
          <w:sz w:val="28"/>
          <w:szCs w:val="28"/>
        </w:rPr>
        <w:t>Представительному Собранию</w:t>
      </w:r>
      <w:r w:rsidRPr="001801A1">
        <w:rPr>
          <w:rFonts w:ascii="Times New Roman" w:hAnsi="Times New Roman" w:cs="Times New Roman"/>
          <w:sz w:val="28"/>
          <w:szCs w:val="28"/>
        </w:rPr>
        <w:t>,</w:t>
      </w:r>
      <w:r w:rsidRPr="00126256">
        <w:rPr>
          <w:rFonts w:ascii="Times New Roman" w:hAnsi="Times New Roman" w:cs="Times New Roman"/>
          <w:sz w:val="28"/>
          <w:szCs w:val="28"/>
        </w:rPr>
        <w:t xml:space="preserve"> как главному  распорядителю  средств  бюджета  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126256">
        <w:rPr>
          <w:rFonts w:ascii="Times New Roman" w:hAnsi="Times New Roman" w:cs="Times New Roman"/>
          <w:sz w:val="28"/>
          <w:szCs w:val="28"/>
        </w:rPr>
        <w:t>муниципального района предусмотрены  бюджетные  ассигнования  на  202</w:t>
      </w:r>
      <w:r w:rsidR="00247BFD"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 год  в  объеме </w:t>
      </w:r>
      <w:r w:rsidR="00247BFD">
        <w:rPr>
          <w:rFonts w:ascii="Times New Roman" w:hAnsi="Times New Roman" w:cs="Times New Roman"/>
          <w:sz w:val="28"/>
          <w:szCs w:val="28"/>
        </w:rPr>
        <w:t>5474,4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46DF9">
        <w:rPr>
          <w:rFonts w:ascii="Times New Roman" w:hAnsi="Times New Roman" w:cs="Times New Roman"/>
          <w:sz w:val="28"/>
          <w:szCs w:val="28"/>
        </w:rPr>
        <w:t>В течение 202</w:t>
      </w:r>
      <w:r w:rsidR="00247BFD">
        <w:rPr>
          <w:rFonts w:ascii="Times New Roman" w:hAnsi="Times New Roman" w:cs="Times New Roman"/>
          <w:sz w:val="28"/>
          <w:szCs w:val="28"/>
        </w:rPr>
        <w:t>2</w:t>
      </w:r>
      <w:r w:rsidRPr="00146DF9">
        <w:rPr>
          <w:rFonts w:ascii="Times New Roman" w:hAnsi="Times New Roman" w:cs="Times New Roman"/>
          <w:sz w:val="28"/>
          <w:szCs w:val="28"/>
        </w:rPr>
        <w:t xml:space="preserve"> года общий объем бюджетных ассигнований </w:t>
      </w:r>
      <w:r w:rsidR="00412649" w:rsidRPr="00146DF9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146DF9">
        <w:rPr>
          <w:rFonts w:ascii="Times New Roman" w:hAnsi="Times New Roman" w:cs="Times New Roman"/>
          <w:sz w:val="28"/>
          <w:szCs w:val="28"/>
        </w:rPr>
        <w:t xml:space="preserve"> на </w:t>
      </w:r>
      <w:r w:rsidR="00146DF9" w:rsidRPr="00146DF9">
        <w:rPr>
          <w:rFonts w:ascii="Times New Roman" w:hAnsi="Times New Roman" w:cs="Times New Roman"/>
          <w:sz w:val="28"/>
          <w:szCs w:val="28"/>
        </w:rPr>
        <w:t xml:space="preserve">21,6 </w:t>
      </w:r>
      <w:r w:rsidRPr="00146D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247BFD">
        <w:rPr>
          <w:rFonts w:ascii="Times New Roman" w:hAnsi="Times New Roman" w:cs="Times New Roman"/>
          <w:sz w:val="28"/>
          <w:szCs w:val="28"/>
        </w:rPr>
        <w:t>6541,4</w:t>
      </w:r>
      <w:r w:rsidRPr="00146DF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26256" w:rsidRPr="00146DF9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DF9">
        <w:rPr>
          <w:rFonts w:ascii="Times New Roman" w:hAnsi="Times New Roman" w:cs="Times New Roman"/>
          <w:sz w:val="28"/>
          <w:szCs w:val="28"/>
        </w:rPr>
        <w:t>Объем бюджетных ассигнований на 202</w:t>
      </w:r>
      <w:r w:rsidR="00013606">
        <w:rPr>
          <w:rFonts w:ascii="Times New Roman" w:hAnsi="Times New Roman" w:cs="Times New Roman"/>
          <w:sz w:val="28"/>
          <w:szCs w:val="28"/>
        </w:rPr>
        <w:t>2</w:t>
      </w:r>
      <w:r w:rsidRPr="00146DF9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146DF9" w:rsidRPr="00146DF9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Pr="00146DF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46DF9">
        <w:rPr>
          <w:rFonts w:ascii="Times New Roman" w:hAnsi="Times New Roman" w:cs="Times New Roman"/>
          <w:sz w:val="28"/>
          <w:szCs w:val="28"/>
        </w:rPr>
        <w:t xml:space="preserve"> решением  о районном бюджете  (</w:t>
      </w:r>
      <w:r w:rsidR="00CE3EC3">
        <w:rPr>
          <w:rFonts w:ascii="Times New Roman" w:hAnsi="Times New Roman" w:cs="Times New Roman"/>
          <w:sz w:val="28"/>
          <w:szCs w:val="28"/>
        </w:rPr>
        <w:t>6541,4</w:t>
      </w:r>
      <w:r w:rsidRPr="00146DF9">
        <w:rPr>
          <w:rFonts w:ascii="Times New Roman" w:hAnsi="Times New Roman" w:cs="Times New Roman"/>
          <w:sz w:val="28"/>
          <w:szCs w:val="28"/>
        </w:rPr>
        <w:t xml:space="preserve"> тыс. рублей), на </w:t>
      </w:r>
      <w:r w:rsidR="00CE3EC3">
        <w:rPr>
          <w:rFonts w:ascii="Times New Roman" w:hAnsi="Times New Roman" w:cs="Times New Roman"/>
          <w:sz w:val="28"/>
          <w:szCs w:val="28"/>
        </w:rPr>
        <w:t>414,9</w:t>
      </w:r>
      <w:r w:rsidRPr="00146DF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E3EC3">
        <w:rPr>
          <w:rFonts w:ascii="Times New Roman" w:hAnsi="Times New Roman" w:cs="Times New Roman"/>
          <w:sz w:val="28"/>
          <w:szCs w:val="28"/>
        </w:rPr>
        <w:t>6,7</w:t>
      </w:r>
      <w:r w:rsidRPr="00146DF9">
        <w:rPr>
          <w:rFonts w:ascii="Times New Roman" w:hAnsi="Times New Roman" w:cs="Times New Roman"/>
          <w:sz w:val="28"/>
          <w:szCs w:val="28"/>
        </w:rPr>
        <w:t xml:space="preserve">% больше бюджетных  ассигнований,  предусмотренных </w:t>
      </w:r>
      <w:r w:rsidR="00013606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Pr="00146DF9">
        <w:rPr>
          <w:rFonts w:ascii="Times New Roman" w:hAnsi="Times New Roman" w:cs="Times New Roman"/>
          <w:sz w:val="28"/>
          <w:szCs w:val="28"/>
        </w:rPr>
        <w:t>, в 202</w:t>
      </w:r>
      <w:r w:rsidR="00CE3EC3">
        <w:rPr>
          <w:rFonts w:ascii="Times New Roman" w:hAnsi="Times New Roman" w:cs="Times New Roman"/>
          <w:sz w:val="28"/>
          <w:szCs w:val="28"/>
        </w:rPr>
        <w:t>1</w:t>
      </w:r>
      <w:r w:rsidRPr="00146DF9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r w:rsidR="00126256" w:rsidRPr="00146DF9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146DF9">
        <w:rPr>
          <w:rFonts w:ascii="Times New Roman" w:hAnsi="Times New Roman" w:cs="Times New Roman"/>
          <w:sz w:val="28"/>
          <w:szCs w:val="28"/>
        </w:rPr>
        <w:t xml:space="preserve"> Собрания  </w:t>
      </w:r>
      <w:r w:rsidR="00126256" w:rsidRPr="00146DF9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146D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6256" w:rsidRPr="00CE3EC3">
        <w:rPr>
          <w:rFonts w:ascii="Times New Roman" w:hAnsi="Times New Roman" w:cs="Times New Roman"/>
          <w:sz w:val="28"/>
          <w:szCs w:val="28"/>
        </w:rPr>
        <w:t>2</w:t>
      </w:r>
      <w:r w:rsidR="00CE3EC3" w:rsidRPr="00CE3EC3">
        <w:rPr>
          <w:rFonts w:ascii="Times New Roman" w:hAnsi="Times New Roman" w:cs="Times New Roman"/>
          <w:sz w:val="28"/>
          <w:szCs w:val="28"/>
        </w:rPr>
        <w:t>3</w:t>
      </w:r>
      <w:r w:rsidRPr="00CE3EC3">
        <w:rPr>
          <w:rFonts w:ascii="Times New Roman" w:hAnsi="Times New Roman" w:cs="Times New Roman"/>
          <w:sz w:val="28"/>
          <w:szCs w:val="28"/>
        </w:rPr>
        <w:t>.12.20</w:t>
      </w:r>
      <w:r w:rsidR="00126256" w:rsidRPr="00CE3EC3">
        <w:rPr>
          <w:rFonts w:ascii="Times New Roman" w:hAnsi="Times New Roman" w:cs="Times New Roman"/>
          <w:sz w:val="28"/>
          <w:szCs w:val="28"/>
        </w:rPr>
        <w:t>2</w:t>
      </w:r>
      <w:r w:rsidR="00CE3EC3" w:rsidRPr="00CE3EC3">
        <w:rPr>
          <w:rFonts w:ascii="Times New Roman" w:hAnsi="Times New Roman" w:cs="Times New Roman"/>
          <w:sz w:val="28"/>
          <w:szCs w:val="28"/>
        </w:rPr>
        <w:t>1</w:t>
      </w:r>
      <w:r w:rsidRPr="00CE3EC3">
        <w:rPr>
          <w:rFonts w:ascii="Times New Roman" w:hAnsi="Times New Roman" w:cs="Times New Roman"/>
          <w:sz w:val="28"/>
          <w:szCs w:val="28"/>
        </w:rPr>
        <w:t xml:space="preserve"> №</w:t>
      </w:r>
      <w:r w:rsidR="00126256" w:rsidRPr="00CE3EC3">
        <w:rPr>
          <w:rFonts w:ascii="Times New Roman" w:hAnsi="Times New Roman" w:cs="Times New Roman"/>
          <w:sz w:val="28"/>
          <w:szCs w:val="28"/>
        </w:rPr>
        <w:t>8</w:t>
      </w:r>
      <w:r w:rsidR="00CE3EC3" w:rsidRPr="00CE3EC3">
        <w:rPr>
          <w:rFonts w:ascii="Times New Roman" w:hAnsi="Times New Roman" w:cs="Times New Roman"/>
          <w:sz w:val="28"/>
          <w:szCs w:val="28"/>
        </w:rPr>
        <w:t>9</w:t>
      </w:r>
      <w:r w:rsidRPr="00CE3EC3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CE3EC3">
        <w:rPr>
          <w:rFonts w:ascii="Times New Roman" w:hAnsi="Times New Roman" w:cs="Times New Roman"/>
          <w:sz w:val="28"/>
          <w:szCs w:val="28"/>
        </w:rPr>
        <w:t>"О внесении изменений в решение Представительного Собрания района "О бюджете Чагодощенского  муниципального района на 202</w:t>
      </w:r>
      <w:r w:rsidR="00CE3EC3" w:rsidRPr="00CE3EC3">
        <w:rPr>
          <w:rFonts w:ascii="Times New Roman" w:hAnsi="Times New Roman" w:cs="Times New Roman"/>
          <w:sz w:val="28"/>
          <w:szCs w:val="28"/>
        </w:rPr>
        <w:t>1</w:t>
      </w:r>
      <w:r w:rsidR="00126256" w:rsidRPr="00146DF9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CE3EC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26256" w:rsidRPr="00146DF9">
        <w:rPr>
          <w:rFonts w:ascii="Times New Roman" w:hAnsi="Times New Roman" w:cs="Times New Roman"/>
          <w:sz w:val="28"/>
          <w:szCs w:val="28"/>
        </w:rPr>
        <w:t xml:space="preserve"> и 202</w:t>
      </w:r>
      <w:r w:rsidR="00CE3EC3">
        <w:rPr>
          <w:rFonts w:ascii="Times New Roman" w:hAnsi="Times New Roman" w:cs="Times New Roman"/>
          <w:sz w:val="28"/>
          <w:szCs w:val="28"/>
        </w:rPr>
        <w:t>3</w:t>
      </w:r>
      <w:r w:rsidR="00126256" w:rsidRPr="00146DF9">
        <w:rPr>
          <w:rFonts w:ascii="Times New Roman" w:hAnsi="Times New Roman" w:cs="Times New Roman"/>
          <w:sz w:val="28"/>
          <w:szCs w:val="28"/>
        </w:rPr>
        <w:t xml:space="preserve"> годов"   </w:t>
      </w:r>
      <w:r w:rsidRPr="00146DF9">
        <w:rPr>
          <w:rFonts w:ascii="Times New Roman" w:hAnsi="Times New Roman" w:cs="Times New Roman"/>
          <w:sz w:val="28"/>
          <w:szCs w:val="28"/>
        </w:rPr>
        <w:t>(</w:t>
      </w:r>
      <w:r w:rsidR="00CE3EC3">
        <w:rPr>
          <w:rFonts w:ascii="Times New Roman" w:hAnsi="Times New Roman" w:cs="Times New Roman"/>
          <w:sz w:val="28"/>
          <w:szCs w:val="28"/>
        </w:rPr>
        <w:t>6126,5</w:t>
      </w:r>
      <w:r w:rsidRPr="00146DF9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46DF9">
        <w:rPr>
          <w:rFonts w:ascii="Times New Roman" w:hAnsi="Times New Roman" w:cs="Times New Roman"/>
          <w:sz w:val="28"/>
          <w:szCs w:val="28"/>
        </w:rPr>
        <w:t>тыс. рублей), что соответствует с</w:t>
      </w:r>
      <w:r w:rsidRPr="00146DF9">
        <w:rPr>
          <w:rFonts w:ascii="Times New Roman" w:hAnsi="Times New Roman" w:cs="Times New Roman"/>
          <w:sz w:val="28"/>
          <w:szCs w:val="28"/>
        </w:rPr>
        <w:t>водной бюджетной росписью на 202</w:t>
      </w:r>
      <w:r w:rsidR="00CE3EC3">
        <w:rPr>
          <w:rFonts w:ascii="Times New Roman" w:hAnsi="Times New Roman" w:cs="Times New Roman"/>
          <w:sz w:val="28"/>
          <w:szCs w:val="28"/>
        </w:rPr>
        <w:t>2</w:t>
      </w:r>
      <w:r w:rsidRPr="00146DF9">
        <w:rPr>
          <w:rFonts w:ascii="Times New Roman" w:hAnsi="Times New Roman" w:cs="Times New Roman"/>
          <w:sz w:val="28"/>
          <w:szCs w:val="28"/>
        </w:rPr>
        <w:t xml:space="preserve"> год</w:t>
      </w:r>
      <w:r w:rsidR="00126256" w:rsidRPr="00146DF9">
        <w:rPr>
          <w:rFonts w:ascii="Times New Roman" w:hAnsi="Times New Roman" w:cs="Times New Roman"/>
          <w:sz w:val="28"/>
          <w:szCs w:val="28"/>
        </w:rPr>
        <w:t>.</w:t>
      </w:r>
      <w:r w:rsidRPr="0014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6DF9">
        <w:rPr>
          <w:rFonts w:ascii="Times New Roman" w:hAnsi="Times New Roman" w:cs="Times New Roman"/>
          <w:sz w:val="28"/>
          <w:szCs w:val="28"/>
        </w:rPr>
        <w:t>Анализ структуры</w:t>
      </w:r>
      <w:r w:rsidRPr="00146DF9">
        <w:rPr>
          <w:rFonts w:ascii="Times New Roman CYR" w:hAnsi="Times New Roman CYR" w:cs="Times New Roman CYR"/>
          <w:sz w:val="28"/>
          <w:szCs w:val="28"/>
        </w:rPr>
        <w:t xml:space="preserve"> расходов и уровень исполнения </w:t>
      </w:r>
      <w:r w:rsidR="00146DF9">
        <w:rPr>
          <w:rFonts w:ascii="Times New Roman CYR" w:hAnsi="Times New Roman CYR" w:cs="Times New Roman CYR"/>
          <w:sz w:val="28"/>
          <w:szCs w:val="28"/>
        </w:rPr>
        <w:t xml:space="preserve">Представительным Собранием 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</w:t>
      </w:r>
      <w:r w:rsidR="00126256">
        <w:rPr>
          <w:rFonts w:ascii="Times New Roman CYR" w:hAnsi="Times New Roman CYR" w:cs="Times New Roman CYR"/>
          <w:sz w:val="28"/>
          <w:szCs w:val="28"/>
        </w:rPr>
        <w:t>Чагодощенского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B831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 по расходам по разделам, подразделам бюджетной классификации за 202</w:t>
      </w:r>
      <w:r w:rsidR="00CE3EC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814" w:type="dxa"/>
        <w:tblInd w:w="91" w:type="dxa"/>
        <w:tblLook w:val="04A0"/>
      </w:tblPr>
      <w:tblGrid>
        <w:gridCol w:w="1353"/>
        <w:gridCol w:w="1388"/>
        <w:gridCol w:w="1388"/>
        <w:gridCol w:w="1438"/>
        <w:gridCol w:w="1173"/>
        <w:gridCol w:w="1061"/>
        <w:gridCol w:w="1071"/>
        <w:gridCol w:w="942"/>
      </w:tblGrid>
      <w:tr w:rsidR="00EF79F2" w:rsidRPr="00EF79F2" w:rsidTr="00013606">
        <w:trPr>
          <w:trHeight w:val="165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18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Утвержденный  бюджет в ред. от 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.12.202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№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18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.12.202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№</w:t>
            </w:r>
            <w:r w:rsidR="00181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</w:t>
            </w: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Отклонение </w:t>
            </w:r>
            <w:proofErr w:type="gramStart"/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уточненного</w:t>
            </w:r>
            <w:proofErr w:type="gramEnd"/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 первоначального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Исполнено  (ф.0503127) тыс. руб.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Удельный вес,</w:t>
            </w:r>
          </w:p>
        </w:tc>
      </w:tr>
      <w:tr w:rsidR="00EF79F2" w:rsidRPr="00EF79F2" w:rsidTr="00013606">
        <w:trPr>
          <w:trHeight w:val="288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9F2" w:rsidRPr="00EF79F2" w:rsidRDefault="00EF79F2" w:rsidP="00EF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</w:tr>
      <w:tr w:rsidR="00013606" w:rsidRPr="00EF79F2" w:rsidTr="00013606">
        <w:trPr>
          <w:trHeight w:val="28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5474,4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6541,4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1D3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6541,4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6497,7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100,0%</w:t>
            </w:r>
          </w:p>
        </w:tc>
      </w:tr>
      <w:tr w:rsidR="00013606" w:rsidRPr="00EF79F2" w:rsidTr="00013606">
        <w:trPr>
          <w:trHeight w:val="28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2012,2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2213,0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1D3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2184,3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98,7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33,6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013606" w:rsidRPr="00EF79F2" w:rsidTr="00013606">
        <w:trPr>
          <w:trHeight w:val="28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0103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3462,2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4328,4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1D3D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4328,4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4313,4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06" w:rsidRPr="00EF79F2" w:rsidRDefault="00013606" w:rsidP="000136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606" w:rsidRPr="00EF79F2" w:rsidRDefault="00013606" w:rsidP="00EF79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66,4</w:t>
            </w:r>
            <w:r w:rsidRPr="00EF79F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EF79F2" w:rsidRPr="00EF79F2" w:rsidTr="00013606">
        <w:trPr>
          <w:trHeight w:val="80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5474,4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6541,4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1067,0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6541,4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6497,7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13606">
              <w:rPr>
                <w:rFonts w:ascii="Calibri" w:eastAsia="Times New Roman" w:hAnsi="Calibri" w:cs="Times New Roman"/>
                <w:color w:val="000000"/>
              </w:rPr>
              <w:t>99,3%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79F2" w:rsidRPr="00EF79F2" w:rsidRDefault="00EF79F2" w:rsidP="00EF7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9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F79F2" w:rsidRDefault="00EF79F2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по </w:t>
      </w:r>
      <w:r w:rsidR="00EF79F2">
        <w:rPr>
          <w:rFonts w:ascii="Times New Roman CYR" w:hAnsi="Times New Roman CYR" w:cs="Times New Roman CYR"/>
          <w:sz w:val="28"/>
          <w:szCs w:val="28"/>
        </w:rPr>
        <w:t>Представительному Собранию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представлена </w:t>
      </w:r>
      <w:r w:rsidR="00EF79F2">
        <w:rPr>
          <w:rFonts w:ascii="Times New Roman CYR" w:hAnsi="Times New Roman CYR" w:cs="Times New Roman CYR"/>
          <w:sz w:val="28"/>
          <w:szCs w:val="28"/>
        </w:rPr>
        <w:t>1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</w:t>
      </w:r>
      <w:r w:rsidR="00CE3EC3">
        <w:rPr>
          <w:rFonts w:ascii="Times New Roman CYR" w:hAnsi="Times New Roman CYR" w:cs="Times New Roman CYR"/>
          <w:sz w:val="28"/>
          <w:szCs w:val="28"/>
        </w:rPr>
        <w:t>о</w:t>
      </w:r>
      <w:r w:rsidR="003C676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, по которому в течение года внесен</w:t>
      </w:r>
      <w:r w:rsidR="00B831B6">
        <w:rPr>
          <w:rFonts w:ascii="Times New Roman CYR" w:hAnsi="Times New Roman CYR" w:cs="Times New Roman CYR"/>
          <w:sz w:val="28"/>
          <w:szCs w:val="28"/>
        </w:rPr>
        <w:t>ы изменения, которые в целом у</w:t>
      </w:r>
      <w:r w:rsidR="003C676C">
        <w:rPr>
          <w:rFonts w:ascii="Times New Roman CYR" w:hAnsi="Times New Roman CYR" w:cs="Times New Roman CYR"/>
          <w:sz w:val="28"/>
          <w:szCs w:val="28"/>
        </w:rPr>
        <w:t>величили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объем бюджетных ассигнований на </w:t>
      </w:r>
      <w:r w:rsidR="00EF79F2">
        <w:rPr>
          <w:rFonts w:ascii="Times New Roman CYR" w:hAnsi="Times New Roman CYR" w:cs="Times New Roman CYR"/>
          <w:sz w:val="28"/>
          <w:szCs w:val="28"/>
        </w:rPr>
        <w:t>10</w:t>
      </w:r>
      <w:r w:rsidR="00CE3EC3">
        <w:rPr>
          <w:rFonts w:ascii="Times New Roman CYR" w:hAnsi="Times New Roman CYR" w:cs="Times New Roman CYR"/>
          <w:sz w:val="28"/>
          <w:szCs w:val="28"/>
        </w:rPr>
        <w:t>67</w:t>
      </w:r>
      <w:r w:rsidR="00EF79F2">
        <w:rPr>
          <w:rFonts w:ascii="Times New Roman CYR" w:hAnsi="Times New Roman CYR" w:cs="Times New Roman CYR"/>
          <w:sz w:val="28"/>
          <w:szCs w:val="28"/>
        </w:rPr>
        <w:t>,</w:t>
      </w:r>
      <w:r w:rsidR="00CE3EC3">
        <w:rPr>
          <w:rFonts w:ascii="Times New Roman CYR" w:hAnsi="Times New Roman CYR" w:cs="Times New Roman CYR"/>
          <w:sz w:val="28"/>
          <w:szCs w:val="28"/>
        </w:rPr>
        <w:t>0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на </w:t>
      </w:r>
      <w:r w:rsidR="00CE3EC3">
        <w:rPr>
          <w:rFonts w:ascii="Times New Roman CYR" w:hAnsi="Times New Roman CYR" w:cs="Times New Roman CYR"/>
          <w:sz w:val="28"/>
          <w:szCs w:val="28"/>
        </w:rPr>
        <w:t>19,5</w:t>
      </w:r>
      <w:r>
        <w:rPr>
          <w:rFonts w:ascii="Times New Roman CYR" w:hAnsi="Times New Roman CYR" w:cs="Times New Roman CYR"/>
          <w:sz w:val="28"/>
          <w:szCs w:val="28"/>
        </w:rPr>
        <w:t xml:space="preserve">% от установленных первоначальных значений.  </w:t>
      </w:r>
    </w:p>
    <w:p w:rsidR="00EC7BD6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</w:t>
      </w:r>
      <w:r w:rsidR="00EF79F2">
        <w:rPr>
          <w:rFonts w:ascii="Times New Roman CYR" w:hAnsi="Times New Roman CYR" w:cs="Times New Roman CYR"/>
          <w:sz w:val="28"/>
          <w:szCs w:val="28"/>
        </w:rPr>
        <w:t xml:space="preserve">Представительным Собранием </w:t>
      </w:r>
      <w:r>
        <w:rPr>
          <w:rFonts w:ascii="Times New Roman CYR" w:hAnsi="Times New Roman CYR" w:cs="Times New Roman CYR"/>
          <w:sz w:val="28"/>
          <w:szCs w:val="28"/>
        </w:rPr>
        <w:t>по расходам в 202</w:t>
      </w:r>
      <w:r w:rsidR="00433B8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433B8D">
        <w:rPr>
          <w:rFonts w:ascii="Times New Roman CYR" w:hAnsi="Times New Roman CYR" w:cs="Times New Roman CYR"/>
          <w:sz w:val="28"/>
          <w:szCs w:val="28"/>
        </w:rPr>
        <w:t>6497,7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3C676C">
        <w:rPr>
          <w:rFonts w:ascii="Times New Roman CYR" w:hAnsi="Times New Roman CYR" w:cs="Times New Roman CYR"/>
          <w:sz w:val="28"/>
          <w:szCs w:val="28"/>
        </w:rPr>
        <w:t>9</w:t>
      </w:r>
      <w:r w:rsidR="00433B8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433B8D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районном бюджете и бюджетных  ассигнований, предусмотренных сводной бюджетной росписью, что </w:t>
      </w:r>
      <w:r w:rsidR="00234221">
        <w:rPr>
          <w:rFonts w:ascii="Times New Roman CYR" w:hAnsi="Times New Roman CYR" w:cs="Times New Roman CYR"/>
          <w:sz w:val="28"/>
          <w:szCs w:val="28"/>
        </w:rPr>
        <w:t xml:space="preserve">ниже </w:t>
      </w:r>
      <w:r w:rsidR="00433B8D"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районного  бюджета  по  расходам в 202</w:t>
      </w:r>
      <w:r w:rsidR="00433B8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433B8D">
        <w:rPr>
          <w:rFonts w:ascii="Times New Roman CYR" w:hAnsi="Times New Roman CYR" w:cs="Times New Roman CYR"/>
          <w:sz w:val="28"/>
          <w:szCs w:val="28"/>
        </w:rPr>
        <w:t>90,1</w:t>
      </w:r>
      <w:r>
        <w:rPr>
          <w:rFonts w:ascii="Times New Roman CYR" w:hAnsi="Times New Roman CYR" w:cs="Times New Roman CYR"/>
          <w:sz w:val="28"/>
          <w:szCs w:val="28"/>
        </w:rPr>
        <w:t xml:space="preserve">%). Отклонений сводной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бюджетной росписи от плановых назначений, утвержденных решением о бюджете на 202</w:t>
      </w:r>
      <w:r w:rsidR="00433B8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EC7BD6" w:rsidRPr="00730BC0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30BC0"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 w:rsidRPr="00730B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0BC0">
        <w:rPr>
          <w:rFonts w:ascii="Times New Roman" w:hAnsi="Times New Roman" w:cs="Times New Roman"/>
          <w:sz w:val="28"/>
          <w:szCs w:val="28"/>
        </w:rPr>
        <w:t xml:space="preserve">0503127), </w:t>
      </w:r>
      <w:r w:rsidRPr="00730BC0"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обязательства бюджета исполнены в сумме </w:t>
      </w:r>
      <w:r w:rsidR="000F78B7">
        <w:rPr>
          <w:rFonts w:ascii="Times New Roman CYR" w:hAnsi="Times New Roman CYR" w:cs="Times New Roman CYR"/>
          <w:sz w:val="28"/>
          <w:szCs w:val="28"/>
        </w:rPr>
        <w:t>6497,7</w:t>
      </w:r>
      <w:r w:rsidRPr="00730BC0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411CF" w:rsidRPr="00730BC0">
        <w:rPr>
          <w:rFonts w:ascii="Times New Roman CYR" w:hAnsi="Times New Roman CYR" w:cs="Times New Roman CYR"/>
          <w:sz w:val="28"/>
          <w:szCs w:val="28"/>
        </w:rPr>
        <w:t>9</w:t>
      </w:r>
      <w:r w:rsidR="000F78B7">
        <w:rPr>
          <w:rFonts w:ascii="Times New Roman CYR" w:hAnsi="Times New Roman CYR" w:cs="Times New Roman CYR"/>
          <w:sz w:val="28"/>
          <w:szCs w:val="28"/>
        </w:rPr>
        <w:t>9</w:t>
      </w:r>
      <w:r w:rsidRPr="00730BC0">
        <w:rPr>
          <w:rFonts w:ascii="Times New Roman CYR" w:hAnsi="Times New Roman CYR" w:cs="Times New Roman CYR"/>
          <w:sz w:val="28"/>
          <w:szCs w:val="28"/>
        </w:rPr>
        <w:t>,</w:t>
      </w:r>
      <w:r w:rsidR="000F78B7">
        <w:rPr>
          <w:rFonts w:ascii="Times New Roman CYR" w:hAnsi="Times New Roman CYR" w:cs="Times New Roman CYR"/>
          <w:sz w:val="28"/>
          <w:szCs w:val="28"/>
        </w:rPr>
        <w:t>3</w:t>
      </w:r>
      <w:r w:rsidRPr="00730BC0">
        <w:rPr>
          <w:rFonts w:ascii="Times New Roman CYR" w:hAnsi="Times New Roman CYR" w:cs="Times New Roman CYR"/>
          <w:sz w:val="28"/>
          <w:szCs w:val="28"/>
        </w:rPr>
        <w:t>% от объема годовых назначений уточненного бюджета.</w:t>
      </w:r>
      <w:proofErr w:type="gramEnd"/>
    </w:p>
    <w:p w:rsidR="00EC7BD6" w:rsidRPr="00730BC0" w:rsidRDefault="00730BC0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30BC0">
        <w:rPr>
          <w:rFonts w:ascii="Times New Roman CYR" w:hAnsi="Times New Roman CYR" w:cs="Times New Roman CYR"/>
          <w:color w:val="000000"/>
          <w:sz w:val="28"/>
          <w:szCs w:val="28"/>
        </w:rPr>
        <w:t>Представительное</w:t>
      </w:r>
      <w:proofErr w:type="gramEnd"/>
      <w:r w:rsidRPr="00730BC0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Собрания</w:t>
      </w:r>
      <w:r w:rsidR="007411CF" w:rsidRPr="00730B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30B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30BC0">
        <w:rPr>
          <w:rFonts w:ascii="Times New Roman CYR" w:hAnsi="Times New Roman CYR" w:cs="Times New Roman CYR"/>
          <w:sz w:val="28"/>
          <w:szCs w:val="28"/>
        </w:rPr>
        <w:t>в 202</w:t>
      </w:r>
      <w:r w:rsidR="000F78B7">
        <w:rPr>
          <w:rFonts w:ascii="Times New Roman CYR" w:hAnsi="Times New Roman CYR" w:cs="Times New Roman CYR"/>
          <w:sz w:val="28"/>
          <w:szCs w:val="28"/>
        </w:rPr>
        <w:t>2</w:t>
      </w:r>
      <w:r w:rsidR="00EC7BD6" w:rsidRPr="00730BC0">
        <w:rPr>
          <w:rFonts w:ascii="Times New Roman CYR" w:hAnsi="Times New Roman CYR" w:cs="Times New Roman CYR"/>
          <w:sz w:val="28"/>
          <w:szCs w:val="28"/>
        </w:rPr>
        <w:t xml:space="preserve"> году не принимала бюджетные и денежные обязательства сверх утвержденных назначений.</w:t>
      </w:r>
    </w:p>
    <w:p w:rsidR="002E3F5A" w:rsidRPr="00FA719B" w:rsidRDefault="002E3F5A" w:rsidP="002E3F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19" w:after="119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A719B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3.</w:t>
      </w:r>
      <w:r w:rsidR="00730BC0" w:rsidRPr="00FA719B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2</w:t>
      </w:r>
      <w:r w:rsidRPr="00FA719B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. Результаты проверки и анализа дебиторской и кредиторской задолженностей</w:t>
      </w:r>
    </w:p>
    <w:p w:rsidR="00FA719B" w:rsidRPr="00FA719B" w:rsidRDefault="00D62741" w:rsidP="00D62741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="002E3F5A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ебиторская </w:t>
      </w:r>
      <w:r w:rsidR="00FA719B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задолженность на начало и конец отчетного периода не числилась.</w:t>
      </w:r>
    </w:p>
    <w:p w:rsidR="002E3F5A" w:rsidRPr="002E3F5A" w:rsidRDefault="00FA719B" w:rsidP="00D62741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</w:t>
      </w:r>
      <w:r w:rsidR="00D62741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редиторская задолженност</w:t>
      </w: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ь</w:t>
      </w:r>
      <w:r w:rsidR="00D62741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="002E3F5A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01.01.202</w:t>
      </w: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="002E3F5A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г. </w:t>
      </w:r>
      <w:r w:rsidR="002E3F5A"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состав</w:t>
      </w:r>
      <w:r w:rsidRPr="00FA719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ляла 348,2 тыс. рублей на конец отчетного периода не числится.</w:t>
      </w:r>
    </w:p>
    <w:p w:rsidR="00927588" w:rsidRDefault="002E3F5A" w:rsidP="00E378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927588" w:rsidRPr="007445F1" w:rsidRDefault="00927588" w:rsidP="0092758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3.5.Прочие вопросы деятельности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88" w:rsidRDefault="00927588" w:rsidP="00927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 xml:space="preserve">158 </w:t>
      </w:r>
      <w:r>
        <w:rPr>
          <w:rFonts w:ascii="Times New Roman CYR" w:hAnsi="Times New Roman CYR" w:cs="Times New Roman CYR"/>
          <w:sz w:val="28"/>
          <w:szCs w:val="28"/>
        </w:rPr>
        <w:t>Инструкции № 191н на основании распоряжения от 2</w:t>
      </w:r>
      <w:r w:rsidR="00D6274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.10.202</w:t>
      </w:r>
      <w:r w:rsidR="00D6274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D62741">
        <w:rPr>
          <w:rFonts w:ascii="Times New Roman CYR" w:hAnsi="Times New Roman CYR" w:cs="Times New Roman CYR"/>
          <w:sz w:val="28"/>
          <w:szCs w:val="28"/>
        </w:rPr>
        <w:t>81</w:t>
      </w:r>
      <w:r>
        <w:rPr>
          <w:rFonts w:ascii="Times New Roman CYR" w:hAnsi="Times New Roman CYR" w:cs="Times New Roman CYR"/>
          <w:sz w:val="28"/>
          <w:szCs w:val="28"/>
        </w:rPr>
        <w:t>-р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4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927588" w:rsidRDefault="00927588" w:rsidP="002E3F5A">
      <w:pPr>
        <w:tabs>
          <w:tab w:val="left" w:pos="-142"/>
        </w:tabs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E3F5A" w:rsidRPr="002E3F5A" w:rsidRDefault="002E3F5A" w:rsidP="002E3F5A">
      <w:pPr>
        <w:tabs>
          <w:tab w:val="left" w:pos="-142"/>
        </w:tabs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Выводы по результатам внешней проверки</w:t>
      </w:r>
    </w:p>
    <w:p w:rsidR="002E3F5A" w:rsidRPr="002E3F5A" w:rsidRDefault="002E3F5A" w:rsidP="002E3F5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E3F5A" w:rsidRPr="002E3F5A" w:rsidRDefault="002E3F5A" w:rsidP="002E3F5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 w:rsidR="001C355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района </w:t>
      </w:r>
      <w:r w:rsidR="00E851D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Представительным Собранием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D6274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 установленным Бюджетным кодексом Российской Федерации, в сроки, установленные Положением о бюджетном процессе в </w:t>
      </w:r>
      <w:proofErr w:type="spellStart"/>
      <w:r w:rsidR="001C355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Чагодощенском</w:t>
      </w:r>
      <w:proofErr w:type="spellEnd"/>
      <w:r w:rsidR="001C355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муниципальном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5337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округе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2E3F5A" w:rsidRPr="002E3F5A" w:rsidRDefault="002E3F5A" w:rsidP="002E3F5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="00F17B07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Представительного Собрания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районном бюджете, и показателям сводной бюджетной росписи.</w:t>
      </w:r>
    </w:p>
    <w:p w:rsidR="002E3F5A" w:rsidRPr="002E3F5A" w:rsidRDefault="002E3F5A" w:rsidP="002E3F5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недостоверности показателей бюджетной отчетности </w:t>
      </w:r>
      <w:r w:rsidR="00F17B07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Представительного Собрания</w:t>
      </w:r>
      <w:r w:rsidRPr="002E3F5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2E3F5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Несоблюдение контрольных  </w:t>
      </w:r>
      <w:r w:rsidRPr="002E3F5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lastRenderedPageBreak/>
        <w:t>соотношений  между показателями форм бюджетной отчетности, влияющее на достоверность бюджетной отчетности, не установлено.</w:t>
      </w:r>
    </w:p>
    <w:p w:rsidR="002E3F5A" w:rsidRPr="002E3F5A" w:rsidRDefault="002E3F5A" w:rsidP="002E3F5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Исполнение бюджета </w:t>
      </w:r>
      <w:r w:rsidR="001C355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="001C355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района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 расходам в 202</w:t>
      </w:r>
      <w:r w:rsidR="00D6274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 w:rsidR="008A3FF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Представительным Собранием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составило </w:t>
      </w:r>
      <w:r w:rsidR="00D6274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6497,7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 w:rsidR="001C355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</w:t>
      </w:r>
      <w:r w:rsidR="00D6274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</w:t>
      </w:r>
      <w:r w:rsidR="008A3FF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</w:t>
      </w:r>
      <w:r w:rsidR="00D6274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3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  <w:r w:rsidRPr="002E3F5A">
        <w:rPr>
          <w:rFonts w:ascii="Courier New" w:eastAsia="Calibri" w:hAnsi="Courier New" w:cs="Courier New"/>
          <w:kern w:val="1"/>
          <w:sz w:val="20"/>
          <w:szCs w:val="20"/>
          <w:lang w:eastAsia="ar-SA"/>
        </w:rPr>
        <w:t xml:space="preserve"> </w:t>
      </w:r>
    </w:p>
    <w:p w:rsidR="002E3F5A" w:rsidRPr="002E3F5A" w:rsidRDefault="002E3F5A" w:rsidP="002E3F5A">
      <w:pPr>
        <w:suppressAutoHyphens/>
        <w:spacing w:before="200"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Courier New" w:eastAsia="Times New Roman" w:hAnsi="Courier New" w:cs="Courier New"/>
          <w:kern w:val="1"/>
          <w:sz w:val="20"/>
          <w:szCs w:val="20"/>
          <w:lang w:eastAsia="ar-SA"/>
        </w:rPr>
        <w:t xml:space="preserve">                                       </w:t>
      </w:r>
    </w:p>
    <w:p w:rsidR="002E3F5A" w:rsidRPr="002E3F5A" w:rsidRDefault="002E3F5A" w:rsidP="002E3F5A">
      <w:pPr>
        <w:suppressAutoHyphens/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Председатель</w:t>
      </w:r>
    </w:p>
    <w:p w:rsidR="002E3F5A" w:rsidRPr="002E3F5A" w:rsidRDefault="001C355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онтрольно-счётно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Н.В.Васильева</w:t>
      </w:r>
    </w:p>
    <w:p w:rsidR="002E3F5A" w:rsidRPr="002E3F5A" w:rsidRDefault="002E3F5A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3F5A" w:rsidRDefault="00121493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Ознакомлены:</w:t>
      </w:r>
    </w:p>
    <w:p w:rsidR="00E37822" w:rsidRDefault="00E37822" w:rsidP="00E37822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Ликвидатор Представительного Собрания</w:t>
      </w:r>
    </w:p>
    <w:p w:rsidR="00121493" w:rsidRDefault="00E37822" w:rsidP="00121493">
      <w:pPr>
        <w:suppressAutoHyphens/>
        <w:spacing w:after="0" w:line="100" w:lineRule="atLeast"/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района                </w:t>
      </w:r>
      <w:r w:rsidR="001214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А.В.Косёнков</w:t>
      </w:r>
    </w:p>
    <w:sectPr w:rsidR="00121493" w:rsidSect="003D04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AB8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7BD6"/>
    <w:rsid w:val="00011F0E"/>
    <w:rsid w:val="00013606"/>
    <w:rsid w:val="00035C07"/>
    <w:rsid w:val="00053222"/>
    <w:rsid w:val="0009693B"/>
    <w:rsid w:val="000A71C1"/>
    <w:rsid w:val="000B4A35"/>
    <w:rsid w:val="000E7F35"/>
    <w:rsid w:val="000F587A"/>
    <w:rsid w:val="000F78B7"/>
    <w:rsid w:val="00121493"/>
    <w:rsid w:val="00126256"/>
    <w:rsid w:val="00146DF9"/>
    <w:rsid w:val="001801A1"/>
    <w:rsid w:val="00181436"/>
    <w:rsid w:val="001C3555"/>
    <w:rsid w:val="001F6A57"/>
    <w:rsid w:val="00234221"/>
    <w:rsid w:val="002367CA"/>
    <w:rsid w:val="00237621"/>
    <w:rsid w:val="00247BFD"/>
    <w:rsid w:val="00281545"/>
    <w:rsid w:val="002942AB"/>
    <w:rsid w:val="002D29AD"/>
    <w:rsid w:val="002E3F5A"/>
    <w:rsid w:val="00313D30"/>
    <w:rsid w:val="00331465"/>
    <w:rsid w:val="00370465"/>
    <w:rsid w:val="003A14C3"/>
    <w:rsid w:val="003C676C"/>
    <w:rsid w:val="003E5350"/>
    <w:rsid w:val="004029D4"/>
    <w:rsid w:val="00412649"/>
    <w:rsid w:val="00433B8D"/>
    <w:rsid w:val="004648F5"/>
    <w:rsid w:val="00483C7A"/>
    <w:rsid w:val="004A394E"/>
    <w:rsid w:val="004A74AB"/>
    <w:rsid w:val="00507CD0"/>
    <w:rsid w:val="00544C88"/>
    <w:rsid w:val="00547589"/>
    <w:rsid w:val="00553251"/>
    <w:rsid w:val="005864F2"/>
    <w:rsid w:val="00594A4B"/>
    <w:rsid w:val="00597DD5"/>
    <w:rsid w:val="005B2605"/>
    <w:rsid w:val="005E52BD"/>
    <w:rsid w:val="00645CAC"/>
    <w:rsid w:val="00652623"/>
    <w:rsid w:val="006813B7"/>
    <w:rsid w:val="006A0854"/>
    <w:rsid w:val="006E284B"/>
    <w:rsid w:val="00726FC4"/>
    <w:rsid w:val="00727532"/>
    <w:rsid w:val="00730BC0"/>
    <w:rsid w:val="007411CF"/>
    <w:rsid w:val="00767698"/>
    <w:rsid w:val="007D1F4E"/>
    <w:rsid w:val="0081549F"/>
    <w:rsid w:val="0082032E"/>
    <w:rsid w:val="00837853"/>
    <w:rsid w:val="008459FE"/>
    <w:rsid w:val="00872E78"/>
    <w:rsid w:val="00897C90"/>
    <w:rsid w:val="008A3FF6"/>
    <w:rsid w:val="008B4280"/>
    <w:rsid w:val="00927588"/>
    <w:rsid w:val="009436DA"/>
    <w:rsid w:val="00957B4C"/>
    <w:rsid w:val="00976FB1"/>
    <w:rsid w:val="00984AD7"/>
    <w:rsid w:val="009C7F96"/>
    <w:rsid w:val="009E4A33"/>
    <w:rsid w:val="00A54FA2"/>
    <w:rsid w:val="00A551C6"/>
    <w:rsid w:val="00A64031"/>
    <w:rsid w:val="00AA7584"/>
    <w:rsid w:val="00AC23DA"/>
    <w:rsid w:val="00B42D03"/>
    <w:rsid w:val="00B47610"/>
    <w:rsid w:val="00B47E84"/>
    <w:rsid w:val="00B831B6"/>
    <w:rsid w:val="00BA2E0B"/>
    <w:rsid w:val="00BC1E69"/>
    <w:rsid w:val="00BE3049"/>
    <w:rsid w:val="00C06D96"/>
    <w:rsid w:val="00C116F9"/>
    <w:rsid w:val="00C41D2E"/>
    <w:rsid w:val="00C53375"/>
    <w:rsid w:val="00C76A53"/>
    <w:rsid w:val="00CC3C6F"/>
    <w:rsid w:val="00CE3EC3"/>
    <w:rsid w:val="00D54221"/>
    <w:rsid w:val="00D62741"/>
    <w:rsid w:val="00D868E8"/>
    <w:rsid w:val="00DA645E"/>
    <w:rsid w:val="00DD592E"/>
    <w:rsid w:val="00E31F33"/>
    <w:rsid w:val="00E37822"/>
    <w:rsid w:val="00E851DC"/>
    <w:rsid w:val="00E86AB4"/>
    <w:rsid w:val="00E91882"/>
    <w:rsid w:val="00EC0D51"/>
    <w:rsid w:val="00EC7BD6"/>
    <w:rsid w:val="00EF415F"/>
    <w:rsid w:val="00EF79F2"/>
    <w:rsid w:val="00F11B60"/>
    <w:rsid w:val="00F17B07"/>
    <w:rsid w:val="00F21588"/>
    <w:rsid w:val="00F65FF2"/>
    <w:rsid w:val="00F778B0"/>
    <w:rsid w:val="00FA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4484&amp;dst=100387&amp;field=134&amp;date=21.03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64484&amp;dst=100016&amp;field=134&amp;date=21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9191&amp;dst=100015&amp;field=134&amp;date=21.03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CD4B-B89F-4DC7-AFF6-0D5053AD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9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2023-04-24T13:18:00Z</cp:lastPrinted>
  <dcterms:created xsi:type="dcterms:W3CDTF">2022-04-14T12:38:00Z</dcterms:created>
  <dcterms:modified xsi:type="dcterms:W3CDTF">2023-04-24T14:05:00Z</dcterms:modified>
</cp:coreProperties>
</file>