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53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382336">
        <w:rPr>
          <w:rFonts w:ascii="Times New Roman" w:hAnsi="Times New Roman" w:cs="Times New Roman"/>
          <w:b/>
          <w:sz w:val="28"/>
          <w:szCs w:val="28"/>
        </w:rPr>
        <w:t>4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53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9A3D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16174"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Бе</w:t>
      </w:r>
      <w:proofErr w:type="gramEnd"/>
      <w:r w:rsidR="00216174"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локрестское</w:t>
      </w:r>
      <w:proofErr w:type="spellEnd"/>
      <w:r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</w:t>
      </w:r>
      <w:r w:rsidR="00382336">
        <w:rPr>
          <w:rFonts w:ascii="Times New Roman" w:hAnsi="Times New Roman" w:cs="Times New Roman"/>
          <w:b/>
          <w:sz w:val="28"/>
          <w:szCs w:val="28"/>
        </w:rPr>
        <w:t>за 2024</w:t>
      </w:r>
      <w:r w:rsidRPr="009A3D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D53">
        <w:rPr>
          <w:rFonts w:ascii="Times New Roman" w:hAnsi="Times New Roman" w:cs="Times New Roman"/>
          <w:sz w:val="28"/>
          <w:szCs w:val="28"/>
        </w:rPr>
        <w:t>п. Чагода</w:t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0D327C">
        <w:rPr>
          <w:rFonts w:ascii="Times New Roman" w:hAnsi="Times New Roman" w:cs="Times New Roman"/>
          <w:sz w:val="28"/>
          <w:szCs w:val="28"/>
        </w:rPr>
        <w:t>02</w:t>
      </w:r>
      <w:r w:rsidRPr="009A3D53">
        <w:rPr>
          <w:rFonts w:ascii="Times New Roman" w:hAnsi="Times New Roman" w:cs="Times New Roman"/>
          <w:sz w:val="28"/>
          <w:szCs w:val="28"/>
        </w:rPr>
        <w:t xml:space="preserve">» </w:t>
      </w:r>
      <w:r w:rsidR="000D327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A3D53">
        <w:rPr>
          <w:rFonts w:ascii="Times New Roman" w:hAnsi="Times New Roman" w:cs="Times New Roman"/>
          <w:sz w:val="28"/>
          <w:szCs w:val="28"/>
        </w:rPr>
        <w:t>202</w:t>
      </w:r>
      <w:r w:rsidR="00382336">
        <w:rPr>
          <w:rFonts w:ascii="Times New Roman" w:hAnsi="Times New Roman" w:cs="Times New Roman"/>
          <w:sz w:val="28"/>
          <w:szCs w:val="28"/>
        </w:rPr>
        <w:t>5</w:t>
      </w:r>
      <w:r w:rsidRPr="009A3D5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proofErr w:type="spellStart"/>
      <w:r w:rsidR="00216174"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Белокрестское</w:t>
      </w:r>
      <w:proofErr w:type="spellEnd"/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proofErr w:type="spellStart"/>
      <w:r w:rsidR="00216174">
        <w:rPr>
          <w:rFonts w:ascii="TimesNewRomanPSMT" w:hAnsi="TimesNewRomanPSMT"/>
          <w:color w:val="000000"/>
          <w:sz w:val="28"/>
          <w:szCs w:val="28"/>
        </w:rPr>
        <w:t>Белокрестское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</w:t>
      </w:r>
      <w:r w:rsidR="009A3D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деятельности контрольно-счетных органов субъектов Российской Федерации муниципальных образований», Положения о контрольно-счетной комиссии Чагодощенского муниципального округа Вологодской области, утвержденного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</w:t>
      </w:r>
      <w:r w:rsidR="00382336">
        <w:rPr>
          <w:rFonts w:ascii="TimesNewRomanPSMT" w:hAnsi="TimesNewRomanPSMT"/>
          <w:color w:val="000000"/>
          <w:sz w:val="28"/>
          <w:szCs w:val="28"/>
        </w:rPr>
        <w:t>5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proofErr w:type="spellStart"/>
      <w:r w:rsidR="00524978">
        <w:rPr>
          <w:rFonts w:ascii="Times New Roman" w:hAnsi="Times New Roman" w:cs="Times New Roman"/>
          <w:color w:val="000000"/>
          <w:sz w:val="28"/>
          <w:szCs w:val="28"/>
        </w:rPr>
        <w:t>Белокрестского</w:t>
      </w:r>
      <w:proofErr w:type="spellEnd"/>
      <w:r w:rsidR="00524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3823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Бюджетная отчетность поступила в контрольно-счетную комиссию </w:t>
      </w:r>
      <w:r w:rsidR="00382336">
        <w:rPr>
          <w:rFonts w:ascii="Times New Roman CYR" w:eastAsia="Times New Roman" w:hAnsi="Times New Roman CYR" w:cs="Times New Roman CYR"/>
          <w:sz w:val="28"/>
          <w:szCs w:val="28"/>
        </w:rPr>
        <w:t>20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202</w:t>
      </w:r>
      <w:r w:rsidR="00382336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года, что соответствует сроку представления годовой бюджетной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</w:t>
      </w:r>
      <w:r w:rsidR="00382336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главного администратора, администратора источников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финансирования дефицита бюджета,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доходов бюджета (ф.0503130);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заключению счетов бюджетного учета отчетного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финансового года (ф.0503110);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финансовых результатах деятельности (ф.0503121);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движении денежных средств (ф.0503123);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консолидируемым расчетам» (ф.0503125);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об исполнении бюджета главного распорядителя,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источников финансирования дефицита бюджета, главного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администратора, администратора доходов бюджета (ф.0503127);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бюджетных обязательствах (ф.0503128);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Пояснительная записка (ф.0503160) с таблицами и приложениям: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-таблица №15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бюджета (ф.0503164);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движении нефинансовых активов (ф.0503168);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5707E3" w:rsidRPr="0038233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в(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ф.0503175);</w:t>
      </w:r>
    </w:p>
    <w:p w:rsidR="00382336" w:rsidRPr="008B7E35" w:rsidRDefault="00382336" w:rsidP="0038233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35">
        <w:rPr>
          <w:rFonts w:ascii="TimesNewRomanPSMT" w:eastAsia="Times New Roman" w:hAnsi="TimesNewRomanPSMT" w:cs="Times New Roman"/>
          <w:sz w:val="28"/>
          <w:szCs w:val="28"/>
        </w:rPr>
        <w:t>Сведения о вложениях в объекты недвижимого имущества, объектам незавершенного строительства (ф.0503190);</w:t>
      </w:r>
    </w:p>
    <w:p w:rsidR="008E47B5" w:rsidRPr="00C80B1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C80B16" w:rsidRPr="00C80B16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6E6840" w:rsidRDefault="00C80B16" w:rsidP="006E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6E6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22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6E6840"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3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6E68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</w:t>
      </w:r>
      <w:proofErr w:type="spellStart"/>
      <w:r w:rsidR="006E6840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Белокрестского</w:t>
      </w:r>
      <w:proofErr w:type="spellEnd"/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территориального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proofErr w:type="spellStart"/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Самоглядова</w:t>
      </w:r>
      <w:proofErr w:type="spellEnd"/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Е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А.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proofErr w:type="spellStart"/>
      <w:r w:rsidR="006E6840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Белокресткого</w:t>
      </w:r>
      <w:proofErr w:type="spellEnd"/>
      <w:r w:rsidR="006E684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>ТУ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proofErr w:type="spellStart"/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</w:t>
      </w:r>
      <w:proofErr w:type="gramEnd"/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</w:t>
      </w:r>
      <w:r w:rsidR="00382336">
        <w:rPr>
          <w:rFonts w:ascii="TimesNewRomanPSMT" w:eastAsia="Times New Roman" w:hAnsi="TimesNewRomanPSMT" w:cs="Times New Roman"/>
          <w:color w:val="000000"/>
          <w:sz w:val="28"/>
          <w:szCs w:val="28"/>
        </w:rPr>
        <w:t>13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1 от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382336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</w:t>
      </w:r>
      <w:r w:rsidR="00382336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Расхождений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4148E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соответствии с пунктом 158 Инструкции №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191н ввиду отсутствия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>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4719FD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Белокрестское</w:t>
      </w:r>
      <w:proofErr w:type="spellEnd"/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  <w:proofErr w:type="gramEnd"/>
    </w:p>
    <w:p w:rsidR="00CE12F8" w:rsidRDefault="004719FD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Белокрестское</w:t>
      </w:r>
      <w:proofErr w:type="spellEnd"/>
      <w:r w:rsidR="002B5157" w:rsidRPr="004209DD">
        <w:rPr>
          <w:rFonts w:ascii="Times New Roman" w:hAnsi="Times New Roman" w:cs="Times New Roman"/>
          <w:bCs/>
          <w:sz w:val="28"/>
          <w:szCs w:val="28"/>
        </w:rPr>
        <w:t xml:space="preserve"> ТУ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="002B5157"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  границ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Борисовского,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Избоищского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Лукинского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Мегринского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Покровского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2B5157" w:rsidRPr="002B5157" w:rsidRDefault="001C793A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bCs/>
          <w:sz w:val="28"/>
          <w:szCs w:val="28"/>
        </w:rPr>
        <w:t>ТУ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 1</w:t>
      </w:r>
      <w:r w:rsid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.1</w:t>
      </w:r>
      <w:r w:rsid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.2022 года.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35220048</w:t>
      </w:r>
      <w:r w:rsidR="001C79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84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КПП  352201001  ОГРН  1223500013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</w:t>
      </w:r>
      <w:r w:rsidR="001C79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59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proofErr w:type="spellStart"/>
      <w:r w:rsidR="001C793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Белокрестское</w:t>
      </w:r>
      <w:proofErr w:type="spellEnd"/>
      <w:r w:rsidR="001C793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3A3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1C793A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Белокрестское</w:t>
      </w:r>
      <w:proofErr w:type="spellEnd"/>
      <w:r w:rsidR="002B5157">
        <w:rPr>
          <w:rFonts w:ascii="Times New Roman CYR" w:hAnsi="Times New Roman CYR" w:cs="Times New Roman CYR"/>
          <w:bCs/>
          <w:sz w:val="28"/>
          <w:szCs w:val="28"/>
        </w:rPr>
        <w:t xml:space="preserve"> ТУ</w:t>
      </w:r>
      <w:r w:rsidR="002B5157"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5157"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локрестское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F2E73" w:rsidRDefault="00FF2E73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CE12F8" w:rsidRPr="00CE12F8" w:rsidRDefault="00AC05BE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3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.Анализ форм бюджетной отчетности.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На данном этапе проведена проверка соблюдения контрольных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достоверности.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Проверка достоверности показателей бюджетной отчетности осуществлялась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ab/>
        <w:t xml:space="preserve">Представленный 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proofErr w:type="spellStart"/>
      <w:r w:rsidR="00FF2E73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</w:t>
      </w:r>
      <w:r w:rsidR="00AB12F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го</w:t>
      </w:r>
      <w:proofErr w:type="spellEnd"/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1262C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18890,9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увеличилась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на </w:t>
      </w:r>
      <w:r w:rsidR="001262C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2894,0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руб. и составила</w:t>
      </w:r>
      <w:r w:rsidR="00BF014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1262C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21784,9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,0503171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68623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5F1E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и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ф.0504072 «Главная книга».</w:t>
      </w:r>
    </w:p>
    <w:p w:rsidR="006E38FE" w:rsidRPr="009B2409" w:rsidRDefault="006E38FE" w:rsidP="00A00E6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 отраженная по строке 2</w:t>
      </w:r>
      <w:r w:rsidR="00A00E6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50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Баланса ф. 0503130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получателя бюджетных сре</w:t>
      </w:r>
      <w:proofErr w:type="gramStart"/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дств в с</w:t>
      </w:r>
      <w:proofErr w:type="gramEnd"/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умме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9,3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 руб. соответствует данным счетов 120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9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00000 ф.0503169, ф.0504072 «Главная книга».</w:t>
      </w:r>
    </w:p>
    <w:p w:rsidR="00CE12F8" w:rsidRPr="0068623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Кредиторская задолженнос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1F4968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конец отчетного периода 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F29BA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данным ф. 00503130 составила </w:t>
      </w:r>
      <w:r w:rsidR="006E38F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426,9</w:t>
      </w:r>
      <w:r w:rsidR="004774E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что соответствует данным счетов 130200000, 130300000ф. 0503169, ф.0504072 «Главная книга»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90694E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Согласно Баланса ф. 0503130 финансовый результат получателя</w:t>
      </w: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ED2C45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21320,5</w:t>
      </w:r>
      <w:r w:rsidR="004774E9"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="004774E9"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уб., что соответствует остатку по</w:t>
      </w:r>
      <w:r w:rsidR="005749B4"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счету 140130 «Финансовый результат прошлых отчетных периодов» Главной</w:t>
      </w:r>
      <w:r w:rsidR="005749B4"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книги ф.0504072 </w:t>
      </w:r>
      <w:r w:rsid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в сумме </w:t>
      </w:r>
      <w:r w:rsidR="00CC403B" w:rsidRP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21320,5</w:t>
      </w:r>
      <w:r w:rsidR="0090694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по </w:t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01 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сумме 34522,1 тыс</w:t>
      </w:r>
      <w:proofErr w:type="gramStart"/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по </w:t>
      </w:r>
      <w:proofErr w:type="spellStart"/>
      <w:r w:rsidR="003601AC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3601A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17 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Поступление денежных средств, источники финансирования дефицита бюджета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</w:t>
      </w:r>
      <w:r w:rsidR="00CC403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72,6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  по</w:t>
      </w:r>
      <w:r w:rsidR="003601AC" w:rsidRPr="003601A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601AC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CC403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538,2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содержит данные о финансовых результатах его деятельности в разрезе кодов КОСГУ по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01.01.2024 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D224EF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состоянию на 01.01.2025</w:t>
      </w:r>
      <w:r w:rsidR="00F0398E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г. доходы по бюджетной деятельности главного администратора доходов составила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1712,4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F0398E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D224E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33532,3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D224E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6656,2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D224E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8272,3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безвозмездные перечисления  -  </w:t>
      </w:r>
      <w:r w:rsidR="00D224E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12222,9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1971,1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4082,5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безвозмездные перечисления капитального характера –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300,0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тыс.рублей,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прочие расходы 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(штрафы)-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27,2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31819,9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1168,4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32988,3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A755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215,5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71E3A">
        <w:rPr>
          <w:rFonts w:ascii="TimesNewRomanPS-BoldItalicMT" w:eastAsia="Times New Roman" w:hAnsi="TimesNewRomanPS-BoldItalicMT" w:cs="Times New Roman"/>
          <w:b/>
          <w:bCs/>
          <w:i/>
          <w:iCs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proofErr w:type="spellStart"/>
      <w:r w:rsidR="00964577" w:rsidRPr="00771E3A">
        <w:rPr>
          <w:rFonts w:ascii="TimesNewRomanPS-BoldItalicMT" w:eastAsia="Times New Roman" w:hAnsi="TimesNewRomanPS-BoldItalicMT" w:cs="Times New Roman"/>
          <w:bCs/>
          <w:iCs/>
          <w:kern w:val="1"/>
          <w:sz w:val="28"/>
          <w:szCs w:val="28"/>
          <w:lang w:eastAsia="ar-SA"/>
        </w:rPr>
        <w:t>Белокрестского</w:t>
      </w:r>
      <w:proofErr w:type="spellEnd"/>
      <w:r w:rsidR="00964577" w:rsidRPr="00771E3A">
        <w:rPr>
          <w:rFonts w:ascii="TimesNewRomanPS-BoldItalicMT" w:eastAsia="Times New Roman" w:hAnsi="TimesNewRomanPS-BoldItalicMT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B646FF" w:rsidRPr="00771E3A">
        <w:rPr>
          <w:rFonts w:ascii="TimesNewRomanPS-BoldItalicMT" w:eastAsia="Times New Roman" w:hAnsi="TimesNewRomanPS-BoldItalicMT" w:cs="Times New Roman"/>
          <w:bCs/>
          <w:iCs/>
          <w:kern w:val="1"/>
          <w:sz w:val="28"/>
          <w:szCs w:val="28"/>
          <w:lang w:eastAsia="ar-SA"/>
        </w:rPr>
        <w:t>ТУ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,</w:t>
      </w:r>
      <w:r w:rsidR="00B646FF"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в</w:t>
      </w:r>
      <w:r w:rsidR="00B56464"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осуществляющих кассовое обслуживание исполнения бюджета, в том числе</w:t>
      </w:r>
      <w:r w:rsidR="00B646FF"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771E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средства во временном распоряжении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отчета ф. 0503123 поступлений за 202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B646FF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составили 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2,5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Выбытия в 202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году составили 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34463,3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34203,3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AA0CE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260,0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Pr="00414D73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="00CE12F8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Согласно аналитической информации по выбытиям раздела 4 ф. 0503123</w:t>
      </w:r>
      <w:r w:rsidR="00CE12F8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 xml:space="preserve">расходы составляют </w:t>
      </w:r>
      <w:r w:rsidR="00414D73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34463,3</w:t>
      </w:r>
      <w:r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.р</w:t>
      </w:r>
      <w:proofErr w:type="gramEnd"/>
      <w:r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уб.,</w:t>
      </w:r>
      <w:r w:rsidR="00CE12F8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классификации.</w:t>
      </w:r>
      <w:r w:rsidR="00EC1572" w:rsidRPr="00414D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76010D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6010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Поступления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76010D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76010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28</w:t>
      </w:r>
      <w:r w:rsidR="0076010D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</w:t>
      </w:r>
      <w:r w:rsidR="0076010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</w:t>
      </w:r>
      <w:r w:rsidR="0076010D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г. №</w:t>
      </w:r>
      <w:r w:rsidR="0076010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102</w:t>
      </w:r>
      <w:r w:rsidR="0076010D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и плановый период 202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202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Доходы </w:t>
      </w:r>
      <w:proofErr w:type="spellStart"/>
      <w:r w:rsidR="00273B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Б</w:t>
      </w:r>
      <w:r w:rsidR="003B0AAF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елокрестского</w:t>
      </w:r>
      <w:proofErr w:type="spellEnd"/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,5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96,</w:t>
      </w:r>
      <w:r w:rsidR="0087180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</w:p>
    <w:p w:rsidR="00F65863" w:rsidRPr="00F65863" w:rsidRDefault="00CE12F8" w:rsidP="00F658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proofErr w:type="spellStart"/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34812,2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Исполнение расходной части бюджета за 202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составило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34463,3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99,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Не исполненные бюджетные назначений составили </w:t>
      </w:r>
      <w:r w:rsidR="00AE7FA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348,9</w:t>
      </w:r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</w:t>
      </w:r>
      <w:proofErr w:type="gramStart"/>
      <w:r w:rsidR="009A3D53" w:rsidRPr="00F658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9A3D53" w:rsidRPr="00F658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proofErr w:type="spellEnd"/>
      <w:r w:rsidR="00F65863" w:rsidRPr="00F65863">
        <w:rPr>
          <w:rFonts w:ascii="Times New Roman" w:eastAsia="Times New Roman" w:hAnsi="Times New Roman" w:cs="Times New Roman"/>
          <w:sz w:val="28"/>
          <w:szCs w:val="28"/>
        </w:rPr>
        <w:t xml:space="preserve"> в т.ч  по оплате потребления электроэнергии за декабрь, по оплате услуг связи за декабрь,  по оплате</w:t>
      </w:r>
      <w:r w:rsidR="00F65863">
        <w:rPr>
          <w:rFonts w:ascii="Times New Roman" w:eastAsia="Times New Roman" w:hAnsi="Times New Roman" w:cs="Times New Roman"/>
          <w:sz w:val="28"/>
          <w:szCs w:val="28"/>
        </w:rPr>
        <w:t xml:space="preserve"> ГСМ </w:t>
      </w:r>
      <w:r w:rsidR="00F65863" w:rsidRPr="00F65863">
        <w:rPr>
          <w:rFonts w:ascii="Times New Roman" w:eastAsia="Times New Roman" w:hAnsi="Times New Roman" w:cs="Times New Roman"/>
          <w:sz w:val="28"/>
          <w:szCs w:val="28"/>
        </w:rPr>
        <w:t>за декабрь, оплата по всем этим счетам будет осуществлена в января 2025г.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расходы </w:t>
      </w:r>
      <w:proofErr w:type="spellStart"/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2019AF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3,1</w:t>
      </w:r>
      <w:r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 расходов бюджета округа.</w:t>
      </w:r>
    </w:p>
    <w:p w:rsidR="009A3D53" w:rsidRDefault="002758C7" w:rsidP="0095157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</w:t>
      </w:r>
      <w:r w:rsidR="002019AF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5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</w:t>
      </w:r>
      <w:r w:rsidR="002019AF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2019A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34698,6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2019A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5046,2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ф.0503175. </w:t>
      </w:r>
      <w:r w:rsidR="00A36A02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BC79D6">
        <w:rPr>
          <w:rFonts w:ascii="Times New Roman CYR" w:hAnsi="Times New Roman CYR" w:cs="Times New Roman CYR"/>
          <w:color w:val="000000" w:themeColor="text1"/>
          <w:sz w:val="28"/>
          <w:szCs w:val="28"/>
        </w:rPr>
        <w:t>4175,7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9A3D53" w:rsidRP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BC79D6">
        <w:rPr>
          <w:rFonts w:ascii="TimesNewRomanPSMT" w:eastAsia="Times New Roman" w:hAnsi="TimesNewRomanPSMT" w:cs="Times New Roman"/>
          <w:color w:val="000000"/>
          <w:sz w:val="28"/>
          <w:szCs w:val="28"/>
        </w:rPr>
        <w:t>235,3</w:t>
      </w:r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.р</w:t>
      </w:r>
      <w:proofErr w:type="gramEnd"/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уб</w:t>
      </w:r>
      <w:r w:rsid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044EC0" w:rsidRDefault="00A81AFD" w:rsidP="00044EC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sz w:val="28"/>
          <w:szCs w:val="28"/>
        </w:rPr>
        <w:t xml:space="preserve">В составе форм бухгалтерской отчетности представлена 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(ф.0503190) </w:t>
      </w:r>
      <w:r w:rsidR="00044EC0"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Сведения о вложениях в объекты недвижимого имущества, объектам 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lastRenderedPageBreak/>
        <w:t>незавершенного строительства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»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согласно которой 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  капитальные вложения составили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="0087180B">
        <w:rPr>
          <w:rFonts w:ascii="TimesNewRomanPSMT" w:eastAsia="Times New Roman" w:hAnsi="TimesNewRomanPSMT" w:cs="Times New Roman"/>
          <w:sz w:val="28"/>
          <w:szCs w:val="28"/>
        </w:rPr>
        <w:t>43,8</w:t>
      </w:r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 тыс</w:t>
      </w:r>
      <w:proofErr w:type="gramStart"/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>.р</w:t>
      </w:r>
      <w:proofErr w:type="gramEnd"/>
      <w:r w:rsidR="00044EC0" w:rsidRPr="008B7E35">
        <w:rPr>
          <w:rFonts w:ascii="TimesNewRomanPSMT" w:eastAsia="Times New Roman" w:hAnsi="TimesNewRomanPSMT" w:cs="Times New Roman"/>
          <w:sz w:val="28"/>
          <w:szCs w:val="28"/>
        </w:rPr>
        <w:t>уб.</w:t>
      </w:r>
    </w:p>
    <w:p w:rsidR="00951578" w:rsidRPr="008C3AF1" w:rsidRDefault="00951578" w:rsidP="00951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(МБУ «</w:t>
      </w:r>
      <w:proofErr w:type="spellStart"/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Белокрестское</w:t>
      </w:r>
      <w:proofErr w:type="spellEnd"/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СКО»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</w:t>
      </w:r>
      <w:proofErr w:type="spellStart"/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Белокрестского</w:t>
      </w:r>
      <w:proofErr w:type="spellEnd"/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>16134,1 тыс</w:t>
      </w:r>
      <w:proofErr w:type="gramStart"/>
      <w:r w:rsidR="00044E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уб. Итоговые суммы финансовых вложений формы 0503171 соответствуют данным баланса (ф. 0503130).</w:t>
      </w:r>
    </w:p>
    <w:p w:rsidR="00951578" w:rsidRPr="008C3AF1" w:rsidRDefault="00951578" w:rsidP="009A3D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2F8" w:rsidRPr="00CE12F8" w:rsidRDefault="00AC05BE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</w:t>
      </w:r>
      <w:r w:rsidR="003E2781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="00C7650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28.12.2023 №102 (в редакции от 19.12.2024 №</w:t>
      </w:r>
      <w:r w:rsidR="00C7650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 xml:space="preserve">81)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«О бюджете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C76506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C7650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5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и 202</w:t>
      </w:r>
      <w:r w:rsidR="00C76506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годов»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A10511" w:rsidRDefault="00B100DB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="00A10511"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FA6A26" w:rsidRDefault="00FA6A26" w:rsidP="00A1051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</w:p>
    <w:p w:rsidR="0021280D" w:rsidRDefault="008C4C4F" w:rsidP="000F1A51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3">
        <w:rPr>
          <w:rFonts w:ascii="TimesNewRomanPSMT" w:eastAsia="Times New Roman" w:hAnsi="TimesNewRomanPSMT" w:cs="Times New Roman"/>
          <w:sz w:val="28"/>
          <w:szCs w:val="28"/>
        </w:rPr>
        <w:t>Поста</w:t>
      </w:r>
      <w:r>
        <w:rPr>
          <w:rFonts w:ascii="TimesNewRomanPSMT" w:eastAsia="Times New Roman" w:hAnsi="TimesNewRomanPSMT" w:cs="Times New Roman"/>
          <w:sz w:val="28"/>
          <w:szCs w:val="28"/>
        </w:rPr>
        <w:t>н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>овлен</w:t>
      </w:r>
      <w:r>
        <w:rPr>
          <w:rFonts w:ascii="TimesNewRomanPSMT" w:eastAsia="Times New Roman" w:hAnsi="TimesNewRomanPSMT" w:cs="Times New Roman"/>
          <w:sz w:val="28"/>
          <w:szCs w:val="28"/>
        </w:rPr>
        <w:t>ием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1A2433">
        <w:rPr>
          <w:rFonts w:ascii="TimesNewRomanPSMT" w:eastAsia="Times New Roman" w:hAnsi="TimesNewRomanPSMT" w:cs="Times New Roman"/>
          <w:sz w:val="28"/>
          <w:szCs w:val="28"/>
        </w:rPr>
        <w:t xml:space="preserve">№ 1551   от  13.12.2023   </w:t>
      </w:r>
      <w:r w:rsidR="00922B73"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="00922B73" w:rsidRPr="0092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="00922B73" w:rsidRPr="00922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="00922B73" w:rsidRPr="00922B73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</w:t>
      </w:r>
      <w:r w:rsidR="00922B73">
        <w:rPr>
          <w:rFonts w:ascii="Times New Roman" w:eastAsia="Times New Roman" w:hAnsi="Times New Roman" w:cs="Times New Roman"/>
          <w:sz w:val="28"/>
          <w:szCs w:val="28"/>
        </w:rPr>
        <w:t xml:space="preserve">» утверждено, что </w:t>
      </w:r>
      <w:proofErr w:type="spellStart"/>
      <w:r w:rsidR="000E63D6">
        <w:rPr>
          <w:rFonts w:ascii="Times New Roman" w:eastAsia="Times New Roman" w:hAnsi="Times New Roman" w:cs="Times New Roman"/>
          <w:sz w:val="28"/>
          <w:szCs w:val="28"/>
        </w:rPr>
        <w:t>Белокрестское</w:t>
      </w:r>
      <w:proofErr w:type="spellEnd"/>
      <w:r w:rsidR="000E6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B73">
        <w:rPr>
          <w:rFonts w:ascii="Times New Roman" w:eastAsia="Times New Roman" w:hAnsi="Times New Roman" w:cs="Times New Roman"/>
          <w:sz w:val="28"/>
          <w:szCs w:val="28"/>
        </w:rPr>
        <w:t xml:space="preserve">ТУ с кодом </w:t>
      </w:r>
      <w:r w:rsidR="008947E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E63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2B73"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80D">
        <w:rPr>
          <w:rFonts w:ascii="Times New Roman" w:eastAsia="Times New Roman" w:hAnsi="Times New Roman" w:cs="Times New Roman"/>
          <w:sz w:val="28"/>
          <w:szCs w:val="28"/>
        </w:rPr>
        <w:t>Белокрестского</w:t>
      </w:r>
      <w:proofErr w:type="spellEnd"/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(ф.0503127)  запланированы в сумме 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9A3D53">
        <w:rPr>
          <w:rFonts w:ascii="Times New Roman" w:eastAsia="Times New Roman" w:hAnsi="Times New Roman" w:cs="Times New Roman"/>
          <w:sz w:val="28"/>
          <w:szCs w:val="28"/>
        </w:rPr>
        <w:t xml:space="preserve">. исполнение составило 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 xml:space="preserve">2,5 </w:t>
      </w:r>
      <w:r w:rsidR="009A3D5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9A3D5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A3D53">
        <w:rPr>
          <w:rFonts w:ascii="Times New Roman" w:eastAsia="Times New Roman" w:hAnsi="Times New Roman" w:cs="Times New Roman"/>
          <w:sz w:val="28"/>
          <w:szCs w:val="28"/>
        </w:rPr>
        <w:t xml:space="preserve">уб. или 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>96,2</w:t>
      </w:r>
      <w:r w:rsidR="009A3D53">
        <w:rPr>
          <w:rFonts w:ascii="Times New Roman" w:eastAsia="Times New Roman" w:hAnsi="Times New Roman" w:cs="Times New Roman"/>
          <w:sz w:val="28"/>
          <w:szCs w:val="28"/>
        </w:rPr>
        <w:t>%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>96,2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от запланированных поступлений</w:t>
      </w:r>
      <w:r w:rsidR="008C4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F8" w:rsidRPr="00CE12F8" w:rsidRDefault="00B100DB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Решением о бюджете </w:t>
      </w:r>
      <w:proofErr w:type="spellStart"/>
      <w:r w:rsidR="00904B4E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Белокрестскому</w:t>
      </w:r>
      <w:proofErr w:type="spellEnd"/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год  в  объеме 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30621,8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общий объем бюджетных ассигнований 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увеличился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12,6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и составил </w:t>
      </w:r>
      <w:r w:rsidR="008C4C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34463,3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</w:t>
      </w:r>
    </w:p>
    <w:p w:rsid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865F3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proofErr w:type="spellStart"/>
      <w:r w:rsidR="00290B73" w:rsidRPr="00865F3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Белокрестским</w:t>
      </w:r>
      <w:proofErr w:type="spellEnd"/>
      <w:r w:rsidR="007B7879" w:rsidRPr="00865F3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865F3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</w:t>
      </w:r>
      <w:r w:rsidR="00865F30"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86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по отношению к бюджетным назначениям сводной бюджетной росписи представлены в таблице:</w:t>
      </w:r>
    </w:p>
    <w:p w:rsidR="00865F30" w:rsidRDefault="00865F30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042" w:type="dxa"/>
        <w:tblInd w:w="97" w:type="dxa"/>
        <w:tblLook w:val="04A0"/>
      </w:tblPr>
      <w:tblGrid>
        <w:gridCol w:w="1532"/>
        <w:gridCol w:w="1507"/>
        <w:gridCol w:w="1507"/>
        <w:gridCol w:w="1629"/>
        <w:gridCol w:w="1606"/>
        <w:gridCol w:w="1205"/>
        <w:gridCol w:w="1056"/>
      </w:tblGrid>
      <w:tr w:rsidR="00865F30" w:rsidRPr="00865F30" w:rsidTr="00865F30">
        <w:trPr>
          <w:trHeight w:val="1656"/>
        </w:trPr>
        <w:tc>
          <w:tcPr>
            <w:tcW w:w="15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Раздел, подраздел классификации расходов</w:t>
            </w:r>
          </w:p>
        </w:tc>
        <w:tc>
          <w:tcPr>
            <w:tcW w:w="1507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28.12.2023 № 102 ,</w:t>
            </w:r>
          </w:p>
        </w:tc>
        <w:tc>
          <w:tcPr>
            <w:tcW w:w="1507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19.12.2024 № 81 ,</w:t>
            </w:r>
          </w:p>
        </w:tc>
        <w:tc>
          <w:tcPr>
            <w:tcW w:w="1629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Отклонение </w:t>
            </w:r>
            <w:proofErr w:type="gramStart"/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уточненного</w:t>
            </w:r>
            <w:proofErr w:type="gramEnd"/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от первоначального</w:t>
            </w:r>
          </w:p>
        </w:tc>
        <w:tc>
          <w:tcPr>
            <w:tcW w:w="16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Процент исполнения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Удельный вес</w:t>
            </w:r>
          </w:p>
        </w:tc>
      </w:tr>
      <w:tr w:rsidR="00865F30" w:rsidRPr="00865F30" w:rsidTr="00865F30">
        <w:trPr>
          <w:trHeight w:val="300"/>
        </w:trPr>
        <w:tc>
          <w:tcPr>
            <w:tcW w:w="15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5F30" w:rsidRPr="00865F30" w:rsidRDefault="00865F30" w:rsidP="0086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865F30" w:rsidRPr="00865F30" w:rsidRDefault="00865F30" w:rsidP="0086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5F30" w:rsidRPr="00865F30" w:rsidRDefault="00865F30" w:rsidP="0086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5F30" w:rsidRPr="00865F30" w:rsidRDefault="00865F30" w:rsidP="0086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5F30" w:rsidRPr="00865F30" w:rsidRDefault="00865F30" w:rsidP="0086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8129,7</w:t>
            </w:r>
          </w:p>
        </w:tc>
        <w:tc>
          <w:tcPr>
            <w:tcW w:w="150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8450,9</w:t>
            </w:r>
          </w:p>
        </w:tc>
        <w:tc>
          <w:tcPr>
            <w:tcW w:w="1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321,2</w:t>
            </w:r>
          </w:p>
        </w:tc>
        <w:tc>
          <w:tcPr>
            <w:tcW w:w="16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8360,6</w:t>
            </w:r>
          </w:p>
        </w:tc>
        <w:tc>
          <w:tcPr>
            <w:tcW w:w="12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10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7716,9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8002,3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2281,6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3327,4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1045,8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3156,3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2281,6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3327,4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3156,3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7622,1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8741,2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8653,8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7622,1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8741,2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8653,8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10307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12222,9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12222,9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10307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12222,9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12222,9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1885,2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-115,1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1885,2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1531,5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1531,5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-51,4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865F30" w:rsidRPr="00865F30" w:rsidTr="00865F30">
        <w:trPr>
          <w:trHeight w:val="312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-51,4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865F30" w:rsidRPr="00865F30" w:rsidTr="00865F30">
        <w:trPr>
          <w:trHeight w:val="816"/>
        </w:trPr>
        <w:tc>
          <w:tcPr>
            <w:tcW w:w="153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30621,8</w:t>
            </w:r>
          </w:p>
        </w:tc>
        <w:tc>
          <w:tcPr>
            <w:tcW w:w="150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34812,2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4190,7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34463,3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865F30" w:rsidRPr="00865F30" w:rsidRDefault="00865F30" w:rsidP="0086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7B7879" w:rsidRPr="00CE12F8" w:rsidRDefault="007B7879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6E60" w:rsidRPr="00A949B4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Классификация расходов по </w:t>
      </w:r>
      <w:proofErr w:type="spellStart"/>
      <w:r w:rsidR="00D06B73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Белокрестскому</w:t>
      </w:r>
      <w:proofErr w:type="spellEnd"/>
      <w:r w:rsidR="00D06B73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4611D9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A949B4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увеличили</w:t>
      </w:r>
      <w:r w:rsidR="00D06B73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бюджетных ассигнований на </w:t>
      </w:r>
      <w:r w:rsidR="00E91F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4190,7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A949B4"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13,7</w:t>
      </w:r>
      <w:r w:rsidRPr="00A949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D96E60" w:rsidRPr="00FD55E9" w:rsidRDefault="00D96E60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округа </w:t>
      </w:r>
      <w:proofErr w:type="spellStart"/>
      <w:r w:rsidR="006D72C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Белокрестским</w:t>
      </w:r>
      <w:proofErr w:type="spellEnd"/>
      <w:r w:rsidR="006D72C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 по расходам в 202</w:t>
      </w:r>
      <w:r w:rsidR="00FD55E9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составило </w:t>
      </w:r>
      <w:r w:rsidR="00FD55E9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34463,3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 w:rsidR="006D72C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99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бюджетных назначений, утвержденных решением о бюджете округа и бюджетных  ассигнований, предусмотренных сводной бюджетной росписью. Отклонений сводной бюджетной росписи от плановых назначений, утвержденных решением о бюджете на 202</w:t>
      </w:r>
      <w:r w:rsidR="00FD55E9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не установлено.</w:t>
      </w:r>
    </w:p>
    <w:p w:rsidR="00FD55E9" w:rsidRPr="00FD55E9" w:rsidRDefault="00FD55E9" w:rsidP="00FD55E9">
      <w:pPr>
        <w:suppressAutoHyphens/>
        <w:spacing w:after="0" w:line="100" w:lineRule="atLeast"/>
        <w:ind w:firstLine="567"/>
        <w:jc w:val="both"/>
        <w:rPr>
          <w:rFonts w:ascii="TimesNewRomanPSMT" w:eastAsia="Times New Roman" w:hAnsi="TimesNewRomanPSMT" w:cs="Times New Roman"/>
          <w:kern w:val="2"/>
          <w:sz w:val="28"/>
          <w:szCs w:val="28"/>
          <w:lang w:eastAsia="ar-SA"/>
        </w:rPr>
      </w:pPr>
      <w:r w:rsidRPr="00FD55E9">
        <w:rPr>
          <w:rFonts w:ascii="TimesNewRomanPSMT" w:eastAsia="Times New Roman" w:hAnsi="TimesNewRomanPSMT" w:cs="Times New Roman"/>
          <w:kern w:val="2"/>
          <w:sz w:val="28"/>
          <w:szCs w:val="28"/>
          <w:lang w:eastAsia="ar-SA"/>
        </w:rPr>
        <w:t xml:space="preserve">В 2024 году </w:t>
      </w:r>
      <w:r w:rsidRPr="00FD55E9">
        <w:rPr>
          <w:rFonts w:ascii="TimesNewRomanPSMT" w:eastAsia="Times New Roman" w:hAnsi="TimesNewRomanPSMT" w:cs="Times New Roman"/>
          <w:sz w:val="28"/>
          <w:szCs w:val="28"/>
        </w:rPr>
        <w:t>главным распорядителем бюджетных сре</w:t>
      </w:r>
      <w:proofErr w:type="gramStart"/>
      <w:r w:rsidRPr="00FD55E9">
        <w:rPr>
          <w:rFonts w:ascii="TimesNewRomanPSMT" w:eastAsia="Times New Roman" w:hAnsi="TimesNewRomanPSMT" w:cs="Times New Roman"/>
          <w:sz w:val="28"/>
          <w:szCs w:val="28"/>
        </w:rPr>
        <w:t xml:space="preserve">дств </w:t>
      </w:r>
      <w:r w:rsidRPr="00FD55E9">
        <w:rPr>
          <w:rFonts w:ascii="TimesNewRomanPSMT" w:eastAsia="Times New Roman" w:hAnsi="TimesNewRomanPSMT" w:cs="Times New Roman"/>
          <w:kern w:val="2"/>
          <w:sz w:val="28"/>
          <w:szCs w:val="28"/>
          <w:lang w:eastAsia="ar-SA"/>
        </w:rPr>
        <w:t>пр</w:t>
      </w:r>
      <w:proofErr w:type="gramEnd"/>
      <w:r w:rsidRPr="00FD55E9">
        <w:rPr>
          <w:rFonts w:ascii="TimesNewRomanPSMT" w:eastAsia="Times New Roman" w:hAnsi="TimesNewRomanPSMT" w:cs="Times New Roman"/>
          <w:kern w:val="2"/>
          <w:sz w:val="28"/>
          <w:szCs w:val="28"/>
          <w:lang w:eastAsia="ar-SA"/>
        </w:rPr>
        <w:t>оизведены расходы на реализацию 8 муниципальных программ в сумме 12015,6 тыс. руб., что составляет 100% к общему объему расходов ГРБС.</w:t>
      </w:r>
    </w:p>
    <w:p w:rsidR="00E97E38" w:rsidRPr="00FD55E9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Произведены расходы на реализацию  </w:t>
      </w:r>
      <w:r w:rsidR="006F7DBD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</w:t>
      </w:r>
      <w:r w:rsidR="00FD55E9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="00CC7002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6501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 сумме </w:t>
      </w:r>
      <w:r w:rsidR="00FD55E9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34463,3</w:t>
      </w:r>
      <w:r w:rsidR="00DF6CE6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 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что составляет</w:t>
      </w:r>
      <w:r w:rsidR="00DF6CE6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100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</w:t>
      </w:r>
      <w:r w:rsidR="00DF6CE6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</w:t>
      </w:r>
      <w:proofErr w:type="spellStart"/>
      <w:r w:rsidR="00FB7850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Белокрестского</w:t>
      </w:r>
      <w:proofErr w:type="spellEnd"/>
      <w:r w:rsidR="00FB7850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6CE6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ТУ.</w:t>
      </w:r>
    </w:p>
    <w:p w:rsidR="00E97E38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об исполнении мероприят</w:t>
      </w:r>
      <w:r w:rsidR="0046501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ий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</w:t>
      </w:r>
      <w:r w:rsidR="0046501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предоставлены</w:t>
      </w:r>
      <w:r w:rsidR="00465013"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таблице согласно ф. 05031</w:t>
      </w:r>
      <w:r w:rsidRPr="00FD55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</w:p>
    <w:p w:rsidR="00780748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95"/>
        <w:gridCol w:w="1417"/>
        <w:gridCol w:w="1418"/>
        <w:gridCol w:w="1134"/>
        <w:gridCol w:w="1134"/>
      </w:tblGrid>
      <w:tr w:rsidR="00780748" w:rsidRPr="00CE12F8" w:rsidTr="00EA7A82">
        <w:trPr>
          <w:trHeight w:val="125"/>
          <w:tblHeader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бюджетные назначений 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Исполнено  (ф.0503127)тыс. </w:t>
            </w:r>
            <w:proofErr w:type="spell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  <w:r w:rsidR="003A5F8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в общем объеме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«Совершенствование муниципального управления в Чагодощенском муниципальном округе на 2023-2025годы»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8082,4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7992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23,2%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4C254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«Совершенствование системы  управления и распоряжения земельно-имущественных комплексом в Чагодощенском муниципальном округе на 2023-2027 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448,6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448,6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FD55E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«Проект «Народный бюджет» Чагодощенского муниципального округа»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4669,1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4669,1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FB785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3327,4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3156,3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94,9%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«Благоустройство на территории   Чагодощенского муниципального округа в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4522,2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4434,8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98,1%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физической культуры и спорта в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Pr="00FB7850" w:rsidRDefault="00EA7A82" w:rsidP="00EA7A8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48,6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</w:t>
            </w:r>
            <w:r w:rsidRPr="00EA7A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"Сохранение и развитие культурного потенциала  Чагодощенского муниципального </w:t>
            </w:r>
            <w:r w:rsidRPr="00EA7A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округа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10671,0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10671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31,0%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МП «Социальная поддержка граждан   Чагодощенского муниципального округа Вологодской области  на 2023-2025 годы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1885,1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1885,1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5,5%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EA7A82" w:rsidRPr="00FB7850" w:rsidRDefault="00EA7A82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«Комплексное развитие сельских территорий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EA7A82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1101,8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1101,8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EA7A82" w:rsidRPr="00FB7850" w:rsidTr="00EA7A82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A7A82" w:rsidRPr="00FB7850" w:rsidRDefault="00EA7A82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34812,2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34463,3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99,0%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7A82" w:rsidRPr="00EA7A82" w:rsidRDefault="00EA7A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</w:tbl>
    <w:p w:rsidR="00F45419" w:rsidRPr="00B763C2" w:rsidRDefault="00F45419" w:rsidP="00F454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 расходы, произведенные главным распорядителем бюджетных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</w:t>
      </w:r>
      <w:r w:rsidRPr="00B763C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периоде, по данным ф. 0503123 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F45419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19" w:rsidRPr="00F45419" w:rsidRDefault="00F45419" w:rsidP="00F4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19" w:rsidRPr="00F45419" w:rsidRDefault="00F45419" w:rsidP="00F4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Исполнено,</w:t>
            </w: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19" w:rsidRPr="00F45419" w:rsidRDefault="00F45419" w:rsidP="00F4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</w:t>
            </w: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вес, 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83" w:rsidRPr="00F45419" w:rsidRDefault="001A7083" w:rsidP="00F4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83" w:rsidRPr="00F45419" w:rsidRDefault="001A7083" w:rsidP="00F4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6561,1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19,0%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83" w:rsidRPr="00F45419" w:rsidRDefault="001A7083" w:rsidP="00F4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83" w:rsidRPr="00F45419" w:rsidRDefault="001A7083" w:rsidP="00F4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eastAsia="Times New Roman" w:hAnsi="Times New Roman" w:cs="Times New Roman"/>
                <w:sz w:val="20"/>
                <w:szCs w:val="20"/>
              </w:rPr>
              <w:t>11929,5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83" w:rsidRPr="00F45419" w:rsidRDefault="001A7083" w:rsidP="00F4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 Безвозмездные перечисления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83" w:rsidRPr="00F45419" w:rsidRDefault="001A7083" w:rsidP="00F4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eastAsia="Times New Roman" w:hAnsi="Times New Roman" w:cs="Times New Roman"/>
                <w:sz w:val="20"/>
                <w:szCs w:val="20"/>
              </w:rPr>
              <w:t>12222,9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35,5%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A70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1906,6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5,5%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0290</w:t>
            </w:r>
            <w:proofErr w:type="gramStart"/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A70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A70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A70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1544,3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</w:tr>
      <w:tr w:rsidR="001A7083" w:rsidRPr="00F45419" w:rsidTr="007C6D0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3" w:rsidRPr="00F45419" w:rsidRDefault="001A7083" w:rsidP="00F45419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A70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34463,3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083" w:rsidRPr="001A7083" w:rsidRDefault="001A70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083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</w:tbl>
    <w:p w:rsidR="007C6D00" w:rsidRPr="00B763C2" w:rsidRDefault="00A43B12" w:rsidP="007C6D0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долю расходов главного администратора бюджетных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 в отчетном периоде</w:t>
      </w:r>
      <w:r w:rsidRPr="00B763C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занимают </w:t>
      </w:r>
      <w:r w:rsidR="007C6D00"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следующие 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расходы</w:t>
      </w:r>
      <w:r w:rsidR="007C6D00"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7C6D00" w:rsidRPr="00B763C2" w:rsidRDefault="007C6D00" w:rsidP="007C6D0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A43B12"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езвозмездные перечисления текущего характера – 35,5%;</w:t>
      </w:r>
    </w:p>
    <w:p w:rsidR="007C6D00" w:rsidRPr="00B763C2" w:rsidRDefault="007C6D00" w:rsidP="007C6D0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 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работ, услуг – 34,6%;</w:t>
      </w:r>
    </w:p>
    <w:p w:rsidR="007C6D00" w:rsidRPr="00B763C2" w:rsidRDefault="007C6D00" w:rsidP="007C6D0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труда и начисления на выплаты по оплате труда – 19,0%.</w:t>
      </w:r>
    </w:p>
    <w:p w:rsidR="007C6D00" w:rsidRPr="00B763C2" w:rsidRDefault="007C6D00" w:rsidP="007C6D0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Остальные 10,9%  расходов составляют социальное обеспечение- 5,5%, приобретение материальных запасов – 4,5%, приобретение основных средств – 0,8%, прочие расходы -0,1%.  </w:t>
      </w:r>
    </w:p>
    <w:p w:rsidR="00A43B12" w:rsidRPr="00B763C2" w:rsidRDefault="00A43B12" w:rsidP="007C6D0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эффективностью использования средств бюджета должен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br/>
        <w:t>быть направлен на оптимизацию</w:t>
      </w:r>
      <w:r w:rsidRPr="00B763C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расходов бюджета и профилактику</w:t>
      </w:r>
      <w:r w:rsidRPr="00B763C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правонарушений в сфере бюджетного законодательства.</w:t>
      </w:r>
      <w:r w:rsidRPr="00B763C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7C6D00"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огласно данным формы 0503123 «Отчет о движении денежных средств» </w:t>
      </w:r>
      <w:r w:rsidRPr="00B763C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главного администратора бюджетных </w:t>
      </w:r>
      <w:r w:rsidRPr="00B763C2">
        <w:rPr>
          <w:rFonts w:ascii="TimesNewRomanPSMT" w:eastAsia="Times New Roman" w:hAnsi="TimesNewRomanPSMT" w:cs="Times New Roman"/>
          <w:color w:val="000000"/>
          <w:sz w:val="26"/>
          <w:szCs w:val="26"/>
        </w:rPr>
        <w:t>средств</w:t>
      </w:r>
      <w:r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202</w:t>
      </w:r>
      <w:r w:rsidR="007C6D00"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произведена уплата штрафов</w:t>
      </w:r>
      <w:r w:rsidR="007C6D00"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сумме 0,5 тыс</w:t>
      </w:r>
      <w:proofErr w:type="gramStart"/>
      <w:r w:rsidR="007C6D00"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7C6D00"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уб.</w:t>
      </w:r>
    </w:p>
    <w:p w:rsidR="00A43B12" w:rsidRPr="00A43B12" w:rsidRDefault="00A43B12" w:rsidP="00A43B1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763C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 и результативности использования бюджетных средств (нарушение требований ст.34, 162 БК РФ). Данные расходы не являются заданным результатом деятельности ГРБС и расходы на данные нужды являются неэффективными.</w:t>
      </w:r>
    </w:p>
    <w:p w:rsidR="00780748" w:rsidRPr="00FB7850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E12F8" w:rsidRPr="00CE12F8" w:rsidRDefault="00B100DB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CE12F8" w:rsidRPr="00CE12F8" w:rsidRDefault="00CE12F8" w:rsidP="00CE12F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</w:p>
    <w:p w:rsidR="00CE12F8" w:rsidRPr="007C6D00" w:rsidRDefault="00CE12F8" w:rsidP="008E3810">
      <w:pPr>
        <w:spacing w:after="12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proofErr w:type="spellStart"/>
      <w:r w:rsidR="00C4230F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 w:rsidR="00C4230F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начало 202</w:t>
      </w:r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составл</w:t>
      </w:r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яла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, на конец года увеличилась на 9,3 тыс</w:t>
      </w:r>
      <w:proofErr w:type="gramStart"/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.р</w:t>
      </w:r>
      <w:proofErr w:type="gramEnd"/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уб. и составила 9,3 тыс.руб.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</w:p>
    <w:p w:rsidR="00A84866" w:rsidRDefault="00CE12F8" w:rsidP="00A848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</w:t>
      </w:r>
      <w:r w:rsidR="00EC0B2B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расчеты по принятым обязательствам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 130200000</w:t>
      </w:r>
      <w:r w:rsidR="00EC0B2B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4B4CE0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составляла </w:t>
      </w:r>
      <w:r w:rsidR="00A84866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171,0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EC0B2B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ув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еличилась</w:t>
      </w:r>
      <w:r w:rsidR="00EC0B2B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A84866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255,9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EC0B2B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A84866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426,9 т</w:t>
      </w:r>
      <w:r w:rsidR="004D7565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>ыс.</w:t>
      </w:r>
      <w:r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A84866" w:rsidRPr="007C6D0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 счету 13020000 расчеты по принятым</w:t>
      </w:r>
      <w:r w:rsidR="00A8486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обязательствам в сумме 315,7 тыс.руб. по счету 13030000 расчеты по платежам в бюджет  в сумме 111,2 тыс.руб.</w:t>
      </w:r>
    </w:p>
    <w:p w:rsidR="00A84866" w:rsidRDefault="00A84866" w:rsidP="00A84866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Кредиторская задолженность по итогам 2024 года сложилась:</w:t>
      </w:r>
    </w:p>
    <w:p w:rsidR="00A84866" w:rsidRDefault="00A84866" w:rsidP="00A848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 по счету 13020000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аработная плата- 159,5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временной нетрудоспособности- 1,1 тыс.руб., услуги связи- 0,7 тыс.руб., коммунальные услуги- 3,3 тыс.руб.,  ГСМ- 80,1 тыс.руб., доплата к пенсиям муниципальных служащих – 71,0 тыс.руб.</w:t>
      </w:r>
    </w:p>
    <w:p w:rsidR="00A84866" w:rsidRDefault="00A84866" w:rsidP="00A84866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счету 13030000  НДФЛ -</w:t>
      </w:r>
      <w:r w:rsidR="00DC02D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02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уб., страховые вопросы -</w:t>
      </w:r>
      <w:r w:rsidR="00DC02D7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02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A84866" w:rsidRDefault="00A84866" w:rsidP="00A84866">
      <w:pPr>
        <w:spacing w:after="0"/>
        <w:jc w:val="both"/>
        <w:rPr>
          <w:rFonts w:ascii="TimesNewRomanPSMT" w:eastAsia="Times New Roman" w:hAnsi="TimesNewRomanPSMT" w:cs="Times New Roman"/>
          <w:color w:val="FF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Просроченная кредиторская задолженность отсутствует.</w:t>
      </w:r>
    </w:p>
    <w:p w:rsidR="00CE12F8" w:rsidRPr="00CE12F8" w:rsidRDefault="00F8736D" w:rsidP="00CE12F8">
      <w:pPr>
        <w:spacing w:before="120" w:after="12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0D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9A3D53" w:rsidRDefault="009A3D53" w:rsidP="00DC13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Белокрестского</w:t>
      </w:r>
      <w:proofErr w:type="spellEnd"/>
      <w:r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территориального управления администрации Чагодощенского муниципального округа 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</w:t>
      </w: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,с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оответствие плановых показателей, указанных в годовой бюджетной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отчетности за 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год, показателям Решения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28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 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102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19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</w:t>
      </w:r>
      <w:r w:rsidR="00F45419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F45419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1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годов».</w:t>
      </w:r>
    </w:p>
    <w:p w:rsidR="009A3D53" w:rsidRPr="00EA4C2B" w:rsidRDefault="009A3D53" w:rsidP="00DC133A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 xml:space="preserve">В целом годовая бюджетная отчетность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</w:t>
      </w:r>
      <w:r w:rsidR="00F45419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</w:p>
    <w:p w:rsidR="009A3D53" w:rsidRPr="000F07D2" w:rsidRDefault="009A3D53" w:rsidP="000F07D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Уровень исполнения бюджета по доходам за 202</w:t>
      </w:r>
      <w:r w:rsidR="00F45419"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4</w:t>
      </w:r>
      <w:r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составил </w:t>
      </w:r>
      <w:r w:rsidR="00F45419"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96,2</w:t>
      </w:r>
      <w:r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% объема утвержденных бюджетных назначений. Доходы бюджета получены в объеме </w:t>
      </w:r>
      <w:r w:rsidR="00F45419" w:rsidRPr="000F07D2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2,5</w:t>
      </w:r>
      <w:r w:rsidRPr="000F07D2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0F07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0F07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F07D2" w:rsidRDefault="007C6D00" w:rsidP="000F07D2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F07D2">
        <w:rPr>
          <w:rFonts w:ascii="Times New Roman" w:hAnsi="Times New Roman" w:cs="Times New Roman"/>
          <w:color w:val="000000"/>
          <w:sz w:val="28"/>
          <w:szCs w:val="28"/>
        </w:rPr>
        <w:t>Доходы бюджета за 2024 год составили 2,5 тыс. руб.</w:t>
      </w:r>
      <w:r w:rsidRPr="000F07D2">
        <w:rPr>
          <w:rFonts w:ascii="Times New Roman" w:eastAsia="Calibri" w:hAnsi="Times New Roman" w:cs="Times New Roman"/>
          <w:iCs/>
          <w:sz w:val="28"/>
          <w:szCs w:val="28"/>
        </w:rPr>
        <w:t xml:space="preserve"> Уровень исполнения бюджета по доходам составил 96,2% объема утвержденных бюджетных назначений. </w:t>
      </w:r>
      <w:r w:rsidR="000F07D2" w:rsidRPr="000F07D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0F07D2" w:rsidRPr="000F07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Бюджетные назначения по расходам исполнены в сумме 34463,3 тыс. руб. или на 99% от</w:t>
      </w:r>
      <w:r w:rsidR="000F07D2" w:rsidRPr="000F07D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сводной бюджетной росписи.</w:t>
      </w:r>
      <w:r w:rsidR="000F07D2" w:rsidRPr="000F07D2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0F07D2" w:rsidRPr="000F07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Объем неисполненных лимитов бюджетных обязательств по отношению к кассовым расходам составил 348,9 тыс. руб.</w:t>
      </w:r>
    </w:p>
    <w:p w:rsidR="000F07D2" w:rsidRPr="000F07D2" w:rsidRDefault="000F07D2" w:rsidP="000F07D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F07D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Дебиторская задолженность по доходам по данным бюджетной отчетности (ф.0503169) на конец отчетного периода составила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9,3</w:t>
      </w:r>
      <w:r w:rsidRPr="000F07D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дебиторская задолженность 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2024 года отсутствует</w:t>
      </w:r>
      <w:r w:rsidRPr="000F07D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9A3D53" w:rsidRPr="00EA4C2B" w:rsidRDefault="009A3D53" w:rsidP="009A3D5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</w:t>
      </w:r>
      <w:r w:rsidR="000F07D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года составила </w:t>
      </w:r>
      <w:r w:rsidR="000F07D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426,9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9A3D53" w:rsidRPr="00EA4C2B" w:rsidRDefault="009A3D53" w:rsidP="009A3D5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="000D32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0,5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9A3D53" w:rsidRPr="00EA4C2B" w:rsidRDefault="009A3D53" w:rsidP="009A3D5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9A3D53" w:rsidRPr="00EA4C2B" w:rsidRDefault="009A3D53" w:rsidP="009A3D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контрольно-счетной комиссии</w:t>
      </w: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                                           Н.В.Васильева</w:t>
      </w:r>
    </w:p>
    <w:p w:rsidR="006850B6" w:rsidRPr="007445F1" w:rsidRDefault="006850B6" w:rsidP="006850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29F3" w:rsidRPr="00DC20F0" w:rsidRDefault="00B129F3" w:rsidP="009A3D53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129F3" w:rsidRPr="00DC20F0" w:rsidSect="00821C15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3FDE"/>
    <w:rsid w:val="00017D89"/>
    <w:rsid w:val="00032077"/>
    <w:rsid w:val="000344A5"/>
    <w:rsid w:val="00034A79"/>
    <w:rsid w:val="00037471"/>
    <w:rsid w:val="00040FA7"/>
    <w:rsid w:val="000419EF"/>
    <w:rsid w:val="00044EC0"/>
    <w:rsid w:val="000564D4"/>
    <w:rsid w:val="00060122"/>
    <w:rsid w:val="0006182C"/>
    <w:rsid w:val="00074040"/>
    <w:rsid w:val="00076236"/>
    <w:rsid w:val="000827D4"/>
    <w:rsid w:val="00090809"/>
    <w:rsid w:val="0009676E"/>
    <w:rsid w:val="000B56E9"/>
    <w:rsid w:val="000C7B31"/>
    <w:rsid w:val="000C7FF5"/>
    <w:rsid w:val="000D032F"/>
    <w:rsid w:val="000D327C"/>
    <w:rsid w:val="000E0F4F"/>
    <w:rsid w:val="000E63D6"/>
    <w:rsid w:val="000F07D2"/>
    <w:rsid w:val="000F0E38"/>
    <w:rsid w:val="000F1A51"/>
    <w:rsid w:val="000F29BA"/>
    <w:rsid w:val="000F362B"/>
    <w:rsid w:val="000F6590"/>
    <w:rsid w:val="001021A6"/>
    <w:rsid w:val="00103292"/>
    <w:rsid w:val="001262C4"/>
    <w:rsid w:val="001525A2"/>
    <w:rsid w:val="00167069"/>
    <w:rsid w:val="00172D5F"/>
    <w:rsid w:val="001770A3"/>
    <w:rsid w:val="00180DC1"/>
    <w:rsid w:val="00185A32"/>
    <w:rsid w:val="00185F25"/>
    <w:rsid w:val="0019030B"/>
    <w:rsid w:val="001A1C60"/>
    <w:rsid w:val="001A3197"/>
    <w:rsid w:val="001A7083"/>
    <w:rsid w:val="001B499A"/>
    <w:rsid w:val="001B4DB9"/>
    <w:rsid w:val="001C291F"/>
    <w:rsid w:val="001C793A"/>
    <w:rsid w:val="001F1233"/>
    <w:rsid w:val="001F149F"/>
    <w:rsid w:val="001F4968"/>
    <w:rsid w:val="002019AF"/>
    <w:rsid w:val="00210146"/>
    <w:rsid w:val="0021280D"/>
    <w:rsid w:val="00216174"/>
    <w:rsid w:val="00234265"/>
    <w:rsid w:val="00236628"/>
    <w:rsid w:val="0025105A"/>
    <w:rsid w:val="00257C3B"/>
    <w:rsid w:val="00264C28"/>
    <w:rsid w:val="002660C9"/>
    <w:rsid w:val="00272D01"/>
    <w:rsid w:val="00273B7A"/>
    <w:rsid w:val="002758C7"/>
    <w:rsid w:val="0028303F"/>
    <w:rsid w:val="0028450C"/>
    <w:rsid w:val="00284D54"/>
    <w:rsid w:val="002902D1"/>
    <w:rsid w:val="00290B73"/>
    <w:rsid w:val="00293420"/>
    <w:rsid w:val="002A7585"/>
    <w:rsid w:val="002B33F7"/>
    <w:rsid w:val="002B39B4"/>
    <w:rsid w:val="002B3DD8"/>
    <w:rsid w:val="002B5157"/>
    <w:rsid w:val="002C1FF1"/>
    <w:rsid w:val="002C2760"/>
    <w:rsid w:val="002C354E"/>
    <w:rsid w:val="002F1413"/>
    <w:rsid w:val="002F4174"/>
    <w:rsid w:val="002F6E1A"/>
    <w:rsid w:val="00303359"/>
    <w:rsid w:val="00303D90"/>
    <w:rsid w:val="00351330"/>
    <w:rsid w:val="003514B0"/>
    <w:rsid w:val="003601AC"/>
    <w:rsid w:val="00377E40"/>
    <w:rsid w:val="00382336"/>
    <w:rsid w:val="00382E9F"/>
    <w:rsid w:val="003950F3"/>
    <w:rsid w:val="003A3840"/>
    <w:rsid w:val="003A5F86"/>
    <w:rsid w:val="003B0AAF"/>
    <w:rsid w:val="003B3B3A"/>
    <w:rsid w:val="003C106B"/>
    <w:rsid w:val="003C271C"/>
    <w:rsid w:val="003E2781"/>
    <w:rsid w:val="003E2AA4"/>
    <w:rsid w:val="003E732F"/>
    <w:rsid w:val="00403E0F"/>
    <w:rsid w:val="00413C7A"/>
    <w:rsid w:val="004148EB"/>
    <w:rsid w:val="00414D73"/>
    <w:rsid w:val="004209DD"/>
    <w:rsid w:val="00433E89"/>
    <w:rsid w:val="00441803"/>
    <w:rsid w:val="0044755D"/>
    <w:rsid w:val="00452160"/>
    <w:rsid w:val="00456D00"/>
    <w:rsid w:val="004611D9"/>
    <w:rsid w:val="00465013"/>
    <w:rsid w:val="004713EA"/>
    <w:rsid w:val="004719FD"/>
    <w:rsid w:val="004774E9"/>
    <w:rsid w:val="00491582"/>
    <w:rsid w:val="0049777B"/>
    <w:rsid w:val="004B0148"/>
    <w:rsid w:val="004B4CE0"/>
    <w:rsid w:val="004C0C12"/>
    <w:rsid w:val="004C2546"/>
    <w:rsid w:val="004D1D10"/>
    <w:rsid w:val="004D7565"/>
    <w:rsid w:val="004E0A4C"/>
    <w:rsid w:val="004E6BD0"/>
    <w:rsid w:val="00524978"/>
    <w:rsid w:val="00526B94"/>
    <w:rsid w:val="00542B31"/>
    <w:rsid w:val="00544282"/>
    <w:rsid w:val="00544336"/>
    <w:rsid w:val="00545A29"/>
    <w:rsid w:val="005469A6"/>
    <w:rsid w:val="00562C6C"/>
    <w:rsid w:val="0056322E"/>
    <w:rsid w:val="005707E3"/>
    <w:rsid w:val="0057497D"/>
    <w:rsid w:val="005749B4"/>
    <w:rsid w:val="00576342"/>
    <w:rsid w:val="00585279"/>
    <w:rsid w:val="005A3DC1"/>
    <w:rsid w:val="005B5DD3"/>
    <w:rsid w:val="005B7907"/>
    <w:rsid w:val="005C17AB"/>
    <w:rsid w:val="005D27F6"/>
    <w:rsid w:val="005D3940"/>
    <w:rsid w:val="005F1E3F"/>
    <w:rsid w:val="005F534E"/>
    <w:rsid w:val="006001C4"/>
    <w:rsid w:val="00600509"/>
    <w:rsid w:val="00600D32"/>
    <w:rsid w:val="00601CC2"/>
    <w:rsid w:val="00602F8B"/>
    <w:rsid w:val="00611825"/>
    <w:rsid w:val="00613BDE"/>
    <w:rsid w:val="0062447C"/>
    <w:rsid w:val="00626094"/>
    <w:rsid w:val="00640873"/>
    <w:rsid w:val="0065470B"/>
    <w:rsid w:val="006837FC"/>
    <w:rsid w:val="00683961"/>
    <w:rsid w:val="00683A03"/>
    <w:rsid w:val="0068457C"/>
    <w:rsid w:val="006850B6"/>
    <w:rsid w:val="00686239"/>
    <w:rsid w:val="00690203"/>
    <w:rsid w:val="006953D0"/>
    <w:rsid w:val="006B45AD"/>
    <w:rsid w:val="006B6E83"/>
    <w:rsid w:val="006C2228"/>
    <w:rsid w:val="006C482C"/>
    <w:rsid w:val="006C65AB"/>
    <w:rsid w:val="006C6D19"/>
    <w:rsid w:val="006C77F2"/>
    <w:rsid w:val="006D3548"/>
    <w:rsid w:val="006D72C3"/>
    <w:rsid w:val="006E38FE"/>
    <w:rsid w:val="006E6840"/>
    <w:rsid w:val="006F51CD"/>
    <w:rsid w:val="006F56A9"/>
    <w:rsid w:val="006F59B7"/>
    <w:rsid w:val="006F7DBD"/>
    <w:rsid w:val="00710FFC"/>
    <w:rsid w:val="00712A8C"/>
    <w:rsid w:val="00713A3E"/>
    <w:rsid w:val="00715552"/>
    <w:rsid w:val="00715A09"/>
    <w:rsid w:val="0072712C"/>
    <w:rsid w:val="007445F1"/>
    <w:rsid w:val="0076010D"/>
    <w:rsid w:val="00771E3A"/>
    <w:rsid w:val="00775B48"/>
    <w:rsid w:val="0077782A"/>
    <w:rsid w:val="00780748"/>
    <w:rsid w:val="007931C9"/>
    <w:rsid w:val="00793944"/>
    <w:rsid w:val="00794A21"/>
    <w:rsid w:val="007A794B"/>
    <w:rsid w:val="007B0009"/>
    <w:rsid w:val="007B10F8"/>
    <w:rsid w:val="007B7879"/>
    <w:rsid w:val="007C6D00"/>
    <w:rsid w:val="007E158F"/>
    <w:rsid w:val="007E292A"/>
    <w:rsid w:val="007F14F5"/>
    <w:rsid w:val="007F521B"/>
    <w:rsid w:val="007F6D05"/>
    <w:rsid w:val="00807FFD"/>
    <w:rsid w:val="008103DC"/>
    <w:rsid w:val="00821C15"/>
    <w:rsid w:val="00822A88"/>
    <w:rsid w:val="00824123"/>
    <w:rsid w:val="00827ADF"/>
    <w:rsid w:val="0083292E"/>
    <w:rsid w:val="00832DA3"/>
    <w:rsid w:val="00834370"/>
    <w:rsid w:val="00862C0D"/>
    <w:rsid w:val="00863B73"/>
    <w:rsid w:val="00865F30"/>
    <w:rsid w:val="0087180B"/>
    <w:rsid w:val="00892C49"/>
    <w:rsid w:val="00894269"/>
    <w:rsid w:val="008947E0"/>
    <w:rsid w:val="00894B76"/>
    <w:rsid w:val="008A19BA"/>
    <w:rsid w:val="008B569A"/>
    <w:rsid w:val="008B76BC"/>
    <w:rsid w:val="008B77B7"/>
    <w:rsid w:val="008C3AF1"/>
    <w:rsid w:val="008C4C4F"/>
    <w:rsid w:val="008E083C"/>
    <w:rsid w:val="008E3810"/>
    <w:rsid w:val="008E47B5"/>
    <w:rsid w:val="008F3152"/>
    <w:rsid w:val="009038DE"/>
    <w:rsid w:val="00903BA3"/>
    <w:rsid w:val="00904B4E"/>
    <w:rsid w:val="00905809"/>
    <w:rsid w:val="00906105"/>
    <w:rsid w:val="0090694E"/>
    <w:rsid w:val="009130F6"/>
    <w:rsid w:val="009175E0"/>
    <w:rsid w:val="00921066"/>
    <w:rsid w:val="0092283A"/>
    <w:rsid w:val="00922B73"/>
    <w:rsid w:val="0092465F"/>
    <w:rsid w:val="009306A1"/>
    <w:rsid w:val="00932174"/>
    <w:rsid w:val="00936DAE"/>
    <w:rsid w:val="0094685F"/>
    <w:rsid w:val="00951578"/>
    <w:rsid w:val="00956422"/>
    <w:rsid w:val="00964359"/>
    <w:rsid w:val="00964577"/>
    <w:rsid w:val="00977FA0"/>
    <w:rsid w:val="00985117"/>
    <w:rsid w:val="00987CF1"/>
    <w:rsid w:val="00991242"/>
    <w:rsid w:val="00993FD0"/>
    <w:rsid w:val="009A3225"/>
    <w:rsid w:val="009A3D53"/>
    <w:rsid w:val="009B493D"/>
    <w:rsid w:val="009C3638"/>
    <w:rsid w:val="009C3FDE"/>
    <w:rsid w:val="009D27D6"/>
    <w:rsid w:val="009E404B"/>
    <w:rsid w:val="009F18DE"/>
    <w:rsid w:val="00A00E68"/>
    <w:rsid w:val="00A06A1B"/>
    <w:rsid w:val="00A10511"/>
    <w:rsid w:val="00A36A02"/>
    <w:rsid w:val="00A43B12"/>
    <w:rsid w:val="00A47BD2"/>
    <w:rsid w:val="00A6792B"/>
    <w:rsid w:val="00A713D5"/>
    <w:rsid w:val="00A7163A"/>
    <w:rsid w:val="00A756A8"/>
    <w:rsid w:val="00A80C6B"/>
    <w:rsid w:val="00A81AFD"/>
    <w:rsid w:val="00A81F90"/>
    <w:rsid w:val="00A84866"/>
    <w:rsid w:val="00A927AB"/>
    <w:rsid w:val="00A94963"/>
    <w:rsid w:val="00A949B4"/>
    <w:rsid w:val="00A97C27"/>
    <w:rsid w:val="00AA0CEA"/>
    <w:rsid w:val="00AB12F2"/>
    <w:rsid w:val="00AC05BE"/>
    <w:rsid w:val="00AD76FD"/>
    <w:rsid w:val="00AE7FAB"/>
    <w:rsid w:val="00AF0706"/>
    <w:rsid w:val="00AF091F"/>
    <w:rsid w:val="00AF43F9"/>
    <w:rsid w:val="00AF5761"/>
    <w:rsid w:val="00B0323B"/>
    <w:rsid w:val="00B100DB"/>
    <w:rsid w:val="00B129F3"/>
    <w:rsid w:val="00B208A3"/>
    <w:rsid w:val="00B2437A"/>
    <w:rsid w:val="00B365A2"/>
    <w:rsid w:val="00B4032D"/>
    <w:rsid w:val="00B41CD9"/>
    <w:rsid w:val="00B56464"/>
    <w:rsid w:val="00B646FF"/>
    <w:rsid w:val="00B734EB"/>
    <w:rsid w:val="00B763C2"/>
    <w:rsid w:val="00B9387B"/>
    <w:rsid w:val="00BA1AA3"/>
    <w:rsid w:val="00BA21F1"/>
    <w:rsid w:val="00BB2A6E"/>
    <w:rsid w:val="00BC65B0"/>
    <w:rsid w:val="00BC79D6"/>
    <w:rsid w:val="00BE405D"/>
    <w:rsid w:val="00BE679B"/>
    <w:rsid w:val="00BF0146"/>
    <w:rsid w:val="00C002BB"/>
    <w:rsid w:val="00C00910"/>
    <w:rsid w:val="00C215A3"/>
    <w:rsid w:val="00C4027D"/>
    <w:rsid w:val="00C4230F"/>
    <w:rsid w:val="00C46243"/>
    <w:rsid w:val="00C47D44"/>
    <w:rsid w:val="00C7017F"/>
    <w:rsid w:val="00C73A53"/>
    <w:rsid w:val="00C76506"/>
    <w:rsid w:val="00C80B16"/>
    <w:rsid w:val="00C9016E"/>
    <w:rsid w:val="00C91AE2"/>
    <w:rsid w:val="00CA24F9"/>
    <w:rsid w:val="00CB2AA7"/>
    <w:rsid w:val="00CB663C"/>
    <w:rsid w:val="00CC403B"/>
    <w:rsid w:val="00CC7002"/>
    <w:rsid w:val="00CE12F8"/>
    <w:rsid w:val="00CE2AF6"/>
    <w:rsid w:val="00CF3A8F"/>
    <w:rsid w:val="00CF7187"/>
    <w:rsid w:val="00D04BBA"/>
    <w:rsid w:val="00D06B73"/>
    <w:rsid w:val="00D224EF"/>
    <w:rsid w:val="00D2418F"/>
    <w:rsid w:val="00D25A9B"/>
    <w:rsid w:val="00D41505"/>
    <w:rsid w:val="00D43121"/>
    <w:rsid w:val="00D43CDF"/>
    <w:rsid w:val="00D63F45"/>
    <w:rsid w:val="00D6466D"/>
    <w:rsid w:val="00D74B8F"/>
    <w:rsid w:val="00D80F81"/>
    <w:rsid w:val="00D85C1A"/>
    <w:rsid w:val="00D96363"/>
    <w:rsid w:val="00D96E60"/>
    <w:rsid w:val="00D97C51"/>
    <w:rsid w:val="00DA7555"/>
    <w:rsid w:val="00DB404E"/>
    <w:rsid w:val="00DB5365"/>
    <w:rsid w:val="00DC02D7"/>
    <w:rsid w:val="00DC133A"/>
    <w:rsid w:val="00DC20F0"/>
    <w:rsid w:val="00DF14DE"/>
    <w:rsid w:val="00DF175D"/>
    <w:rsid w:val="00DF2B57"/>
    <w:rsid w:val="00DF6CE6"/>
    <w:rsid w:val="00E050E2"/>
    <w:rsid w:val="00E1345F"/>
    <w:rsid w:val="00E17B6B"/>
    <w:rsid w:val="00E20140"/>
    <w:rsid w:val="00E20473"/>
    <w:rsid w:val="00E2159E"/>
    <w:rsid w:val="00E23D77"/>
    <w:rsid w:val="00E40067"/>
    <w:rsid w:val="00E40303"/>
    <w:rsid w:val="00E52E7F"/>
    <w:rsid w:val="00E55249"/>
    <w:rsid w:val="00E57272"/>
    <w:rsid w:val="00E66606"/>
    <w:rsid w:val="00E708CB"/>
    <w:rsid w:val="00E75EA6"/>
    <w:rsid w:val="00E91FEC"/>
    <w:rsid w:val="00E927EF"/>
    <w:rsid w:val="00E97E38"/>
    <w:rsid w:val="00EA2080"/>
    <w:rsid w:val="00EA7A82"/>
    <w:rsid w:val="00EC0B2B"/>
    <w:rsid w:val="00EC1572"/>
    <w:rsid w:val="00ED2C45"/>
    <w:rsid w:val="00ED5550"/>
    <w:rsid w:val="00EE34D9"/>
    <w:rsid w:val="00EE4C9A"/>
    <w:rsid w:val="00F0398E"/>
    <w:rsid w:val="00F21A43"/>
    <w:rsid w:val="00F237AB"/>
    <w:rsid w:val="00F27474"/>
    <w:rsid w:val="00F45419"/>
    <w:rsid w:val="00F52437"/>
    <w:rsid w:val="00F65863"/>
    <w:rsid w:val="00F85840"/>
    <w:rsid w:val="00F8736D"/>
    <w:rsid w:val="00F90499"/>
    <w:rsid w:val="00FA0E1C"/>
    <w:rsid w:val="00FA6A26"/>
    <w:rsid w:val="00FB7850"/>
    <w:rsid w:val="00FD279C"/>
    <w:rsid w:val="00FD55E9"/>
    <w:rsid w:val="00FD794F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44A8-CA73-4F60-ACEB-8F60EDB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13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192</cp:revision>
  <cp:lastPrinted>2025-04-14T13:20:00Z</cp:lastPrinted>
  <dcterms:created xsi:type="dcterms:W3CDTF">2022-04-13T06:53:00Z</dcterms:created>
  <dcterms:modified xsi:type="dcterms:W3CDTF">2025-04-14T13:26:00Z</dcterms:modified>
</cp:coreProperties>
</file>