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  <w:r w:rsidRPr="0074103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КОНТРОЛЬНО-СЧЕТНАЯ КОМИССИЯ ЧАГОДОЩЕНСКОГО МУНИЦИПАЛЬНОГО ОКРУГА ВОЛОГОДСКОЙ ОБЛАСТИ ОТДЕЛ </w:t>
      </w: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74103A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ЗАКЛЮЧЕНИЕ </w:t>
      </w: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74103A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на отчет об исполнении бюджета Чагодощенского </w:t>
      </w: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74103A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муниципального </w:t>
      </w:r>
      <w:r w:rsidR="00BD7D2D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округа</w:t>
      </w:r>
      <w:r w:rsidRPr="0074103A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за 202</w:t>
      </w:r>
      <w:r w:rsidR="00BD7D2D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год</w:t>
      </w: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6DDC"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6F7376"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</w:t>
      </w:r>
      <w:r w:rsidR="006F7376"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бюджет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Чагода</w:t>
      </w: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73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</w:t>
      </w:r>
    </w:p>
    <w:p w:rsidR="0074103A" w:rsidRPr="0074103A" w:rsidRDefault="0074103A" w:rsidP="0074103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901"/>
        <w:gridCol w:w="913"/>
      </w:tblGrid>
      <w:tr w:rsidR="0074103A" w:rsidRPr="0074103A" w:rsidTr="007504B8">
        <w:trPr>
          <w:trHeight w:val="635"/>
        </w:trPr>
        <w:tc>
          <w:tcPr>
            <w:tcW w:w="9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before="40" w:after="40"/>
              <w:ind w:left="34" w:hanging="2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 </w:t>
            </w: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before="40" w:after="40"/>
              <w:ind w:left="34" w:hanging="2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2.Изменение плановых показателей бюджета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3.Общая характеристика исполнения бюджета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CE6DDC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Исполнение бюджета по доходам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CE6DDC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keepNext/>
              <w:suppressAutoHyphens/>
              <w:autoSpaceDN w:val="0"/>
              <w:spacing w:before="119" w:after="119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>4.1. Общая характеристика исполнения доходов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CE6DDC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numPr>
                <w:ilvl w:val="1"/>
                <w:numId w:val="46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Налоговые и неналоговые  доходы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119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highlight w:val="yellow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4.3  Безвозмездные поступления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keepNext/>
              <w:suppressAutoHyphens/>
              <w:spacing w:before="119" w:after="119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5. Исполнение бюджета</w:t>
            </w:r>
            <w:r w:rsidR="006F7376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74103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по расходам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4103A" w:rsidRPr="0074103A" w:rsidTr="007504B8">
        <w:trPr>
          <w:trHeight w:val="466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keepNext/>
              <w:suppressAutoHyphens/>
              <w:spacing w:before="240" w:after="119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0" w:name="__RefHeading__355_1519769981"/>
            <w:r w:rsidRPr="007410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5.1. Общая характеристика исполнения расходов бюджета</w:t>
            </w:r>
            <w:bookmarkEnd w:id="0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4103A" w:rsidRPr="0074103A" w:rsidTr="007504B8">
        <w:trPr>
          <w:trHeight w:val="240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5F61BC">
            <w:pPr>
              <w:tabs>
                <w:tab w:val="left" w:pos="7200"/>
              </w:tabs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5.2. </w:t>
            </w:r>
            <w:r w:rsidRPr="0074103A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>Анализ  расходов  бюджета</w:t>
            </w:r>
            <w:r w:rsidR="005F61BC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округа</w:t>
            </w:r>
            <w:r w:rsidRPr="0074103A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по разделам и подразделам классификации расходов и по ведомственной структуре расходов бюджета</w:t>
            </w:r>
            <w:r w:rsidR="005F61BC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округа</w:t>
            </w:r>
            <w:r w:rsidRPr="0074103A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5.3 Анализ отчета о расходовании средств резервного фонда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5.4 Анализ расходов средств дорожного фонда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A1F60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1F60" w:rsidRPr="0074103A" w:rsidRDefault="00EA1F60" w:rsidP="00EA1F60">
            <w:pPr>
              <w:suppressAutoHyphens/>
              <w:autoSpaceDN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5.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</w:t>
            </w: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Анализ расходов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на исполнение публично нормативных обязательств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F60" w:rsidRDefault="00EA1F60" w:rsidP="00CE6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6. Исполнение программной части бюджета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7. Результат исполнения бюджета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8. Состояние муниципального долга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ind w:left="63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9. Оформление годовой бюджетной отчетности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CE6D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E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616EBE">
            <w:pPr>
              <w:suppressAutoHyphens/>
              <w:autoSpaceDN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10.Выводы и предложения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41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Общие положения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Заключение контрольно-счетной комиссии Чагодощенского муниципального округа по результатам внешней проверки отчета об исполнении бюджета Чагодощенского муниципального </w:t>
      </w:r>
      <w:r w:rsidR="00241DE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за 202</w:t>
      </w:r>
      <w:r w:rsidR="00241DE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 (далее – заключение) подготовлено в соответствии со статьей 264.4 Бюджетного кодекса Российской Федерации (далее – БК РФ),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комиссии Чагодощенского муниципального округа, утвержденного решением </w:t>
      </w:r>
      <w:r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Представительного Собрания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Чагодощенского</w:t>
      </w:r>
      <w:r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муниципального округа от 27.10.2022 года №22,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F737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распоряжения председателя контрольно-счетной комиссии Чагодощенского</w:t>
      </w:r>
      <w:r w:rsidRPr="006F7376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муниципального округа</w:t>
      </w:r>
      <w:r w:rsidRPr="006F737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 </w:t>
      </w:r>
      <w:r w:rsidR="00CE5007" w:rsidRPr="006F737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29</w:t>
      </w:r>
      <w:r w:rsidRPr="006F73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.03.202</w:t>
      </w:r>
      <w:r w:rsidR="00CE5007" w:rsidRPr="006F73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4</w:t>
      </w:r>
      <w:r w:rsidRPr="006F73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№</w:t>
      </w:r>
      <w:r w:rsidR="00CE5007" w:rsidRPr="006F73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3</w:t>
      </w:r>
      <w:r w:rsidRPr="006F73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6F737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«О проведении экспертно-аналитического мероприяти</w:t>
      </w:r>
      <w:r w:rsidRPr="006F73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я», в </w:t>
      </w:r>
      <w:r w:rsidRPr="006F737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соответствии с планом работы контрольно-счетной комиссии 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муниципального округа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202</w:t>
      </w:r>
      <w:r w:rsidR="00241DE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год, утвержденным приказом председателя контрольно-счетной комиссии Чагодощенского</w:t>
      </w:r>
      <w:r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муниципального 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 </w:t>
      </w:r>
      <w:r w:rsidR="00241DE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25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.1</w:t>
      </w:r>
      <w:r w:rsidR="00241DE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0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.202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3 № 3</w:t>
      </w:r>
      <w:r w:rsidR="00241DE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1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о/д.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left="-13" w:hanging="360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kern w:val="3"/>
          <w:sz w:val="28"/>
          <w:szCs w:val="28"/>
          <w:lang w:eastAsia="zh-CN"/>
        </w:rPr>
      </w:pPr>
      <w:r w:rsidRPr="0074103A">
        <w:rPr>
          <w:rFonts w:ascii="Times New Roman" w:eastAsia="Arial Unicode MS" w:hAnsi="Times New Roman" w:cs="Times New Roman"/>
          <w:b/>
          <w:bCs/>
          <w:i/>
          <w:kern w:val="3"/>
          <w:sz w:val="28"/>
          <w:szCs w:val="28"/>
          <w:lang w:eastAsia="zh-CN"/>
        </w:rPr>
        <w:t xml:space="preserve">          Предмет экспертно-аналитического мероприятия: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left="-13" w:hanging="36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    Проект решения </w:t>
      </w:r>
      <w:r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Представительного Собрания Чагодощенского муниципального округа </w:t>
      </w: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«Об  исполнении бюджета</w:t>
      </w:r>
      <w:r w:rsidR="00FC0F2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Чагодощенского муниципального </w:t>
      </w:r>
      <w:r w:rsidR="00CE5007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за 202</w:t>
      </w:r>
      <w:r w:rsidR="00074D32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год» с приложениями к нему, 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годовая бюджетная отчетность об исполнении бюджета Чагодощенского муниципального </w:t>
      </w:r>
      <w:r w:rsidR="00074D32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за отчетный финансовый год, годовая бюджетная отчетность главных администраторов бюджетных средств, дополнительные материалы, документы и пояснения к ним.</w:t>
      </w:r>
    </w:p>
    <w:p w:rsidR="0074103A" w:rsidRPr="0074103A" w:rsidRDefault="0074103A" w:rsidP="0074103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    Цель экспертно-аналитического мероприятия:</w:t>
      </w:r>
    </w:p>
    <w:p w:rsidR="0074103A" w:rsidRPr="0074103A" w:rsidRDefault="0074103A" w:rsidP="0074103A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установление достоверности, полноты и соответствия нормативным требованиям, требованиям действующего бюджетного законодательства  бюджетной отчетности главных администраторов бюджетных средств, годового отчета об исполнении бюджета</w:t>
      </w:r>
      <w:r w:rsidR="00CE500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, а также представленных в составе проекта </w:t>
      </w:r>
      <w:r w:rsidRPr="0074103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решения </w:t>
      </w:r>
      <w:r w:rsidRPr="007410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Представительного Собрания Чагодощенского муниципального округа</w:t>
      </w:r>
      <w:r w:rsidRPr="0074103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E0D86"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«Об  исполнении бюджета</w:t>
      </w:r>
      <w:r w:rsidR="004E0D86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Чагодощенского муниципального района</w:t>
      </w:r>
      <w:r w:rsidR="004E0D86"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за 202</w:t>
      </w:r>
      <w:r w:rsidR="00CE5007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3</w:t>
      </w:r>
      <w:r w:rsidR="004E0D86"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год»</w:t>
      </w:r>
      <w:r w:rsidR="004E0D86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документов и материалов;</w:t>
      </w:r>
    </w:p>
    <w:p w:rsidR="0074103A" w:rsidRPr="0074103A" w:rsidRDefault="0074103A" w:rsidP="0074103A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оценка своевременности представления, состава и содержания документов по исполнению бюджета </w:t>
      </w: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Чагодощенского муниципального </w:t>
      </w:r>
      <w:r w:rsidR="00CE5007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сведений, представленных в бюджетной отчетности, иных документах и материалах;</w:t>
      </w:r>
    </w:p>
    <w:p w:rsidR="0074103A" w:rsidRPr="0074103A" w:rsidRDefault="0074103A" w:rsidP="0074103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оценка отчетных показателей по исполнению 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б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юджета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округа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на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br/>
        <w:t>предмет соответствия исполненных показателей бюджета показателям,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br/>
        <w:t xml:space="preserve">установленным решением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Представительного Собрания Чагодощенского муниципального округа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от 2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2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.12.202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2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№ 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61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«О бюджете Чагодощенского муниципального 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округа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на 202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год и на плановый период 202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4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и 202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5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годов»;</w:t>
      </w:r>
    </w:p>
    <w:p w:rsidR="0074103A" w:rsidRPr="0074103A" w:rsidRDefault="0074103A" w:rsidP="0074103A">
      <w:pPr>
        <w:suppressAutoHyphens/>
        <w:spacing w:after="0" w:line="100" w:lineRule="atLeast"/>
        <w:ind w:right="142"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анализ исполнения бюджета</w:t>
      </w:r>
      <w:r w:rsidR="00CE50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оценка законности и эффективности (результативности и экономности) использования в отчетном финансовом году бюджетных средств.</w:t>
      </w:r>
    </w:p>
    <w:p w:rsidR="0074103A" w:rsidRPr="0074103A" w:rsidRDefault="0074103A" w:rsidP="0074103A">
      <w:pPr>
        <w:suppressAutoHyphens/>
        <w:spacing w:after="0" w:line="100" w:lineRule="atLeast"/>
        <w:ind w:right="142"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8"/>
          <w:szCs w:val="28"/>
          <w:lang w:eastAsia="zh-CN"/>
        </w:rPr>
        <w:lastRenderedPageBreak/>
        <w:t>Объект проверки</w:t>
      </w:r>
      <w:r w:rsidRPr="0074103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 xml:space="preserve">: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инансовое управление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="002746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а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дминистрации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Чагодощенского муниципального 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, главные распорядители бюджетных средств.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>Срок проведения экспертно-аналитического мероприятия: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с 0</w:t>
      </w:r>
      <w:r w:rsidR="00CE500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1</w:t>
      </w: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апреля 202</w:t>
      </w:r>
      <w:r w:rsidR="00CE500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4</w:t>
      </w: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года по </w:t>
      </w:r>
      <w:r w:rsidR="00CE500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27</w:t>
      </w: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апреля 2022 года.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При проведении внешней проверки годового отчета об исполнении бюджета  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Чагодощенского  муниципального </w:t>
      </w:r>
      <w:r w:rsidR="00CE50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</w:t>
      </w: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онтрольно-счетная комиссия руководствовалась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 в Чагодощенском муниципальном округе, утвержденного   решением Представительного Собрания Чагодощенского муниципального округа от 27.10.2022 г № 23</w:t>
      </w: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, 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Стандартом внешнего муниципального  финансового контроля  «Проведение внешней проверки годового отчета об исполнении местного бюджета</w:t>
      </w:r>
      <w:r w:rsidRPr="0074103A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»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, утвержденным приказом контрольно-счетной комиссии Чагодощенского муниципального округа  от 03.03.2023  №18 о/д, Стандартом  внешнего  муниципального финансового  контроля «Проведение  экспертно - аналитического мероприятия», утвержденным приказом контрольно - счетной комиссии Чагодощенского муниципального округа от 09.01.2023 № 15 о/д.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Настоящее заключение подготовлено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 основании Отчета об исполнении бюджета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</w:t>
      </w:r>
      <w:r w:rsidR="00CE50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округа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за 202</w:t>
      </w:r>
      <w:r w:rsidR="00CE50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год, представленного администрацией 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муниципального округа, сравнительного анализа исполнения </w:t>
      </w:r>
      <w:r w:rsidR="00472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консолидированного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бюджета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за 202</w:t>
      </w:r>
      <w:r w:rsidR="00CE50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а также данных внешней проверки годовой бюджетной отчетности главных администраторов бюджетных средств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</w:t>
      </w:r>
      <w:r w:rsidR="00CE50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CE50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за 2023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год.</w:t>
      </w:r>
    </w:p>
    <w:p w:rsidR="0074103A" w:rsidRPr="0074103A" w:rsidRDefault="0074103A" w:rsidP="007410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Отчет об исполнении бюджета</w:t>
      </w:r>
      <w:r w:rsidR="009222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202</w:t>
      </w:r>
      <w:r w:rsidR="00CE50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представлен в контрольно-счетную комиссию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администрацией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муниципального округа письмом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2</w:t>
      </w:r>
      <w:r w:rsidR="009222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.03.2023 №32 с соблюдением срока, установленного Положения о бюджетном процессе в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муниципальном округе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Положением о бюджетном процессе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в контрольно-счетную комиссию для осуществления внешней проверки представлены: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- проект решения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Представительного Собрания Чагодощенского муниципального 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«Об утверждении отчета об исполнении бюджета Чагодощенского муниципального </w:t>
      </w:r>
      <w:r w:rsidR="006F73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округа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 202</w:t>
      </w:r>
      <w:r w:rsidR="006F73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год» с приложениями;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- отчет об исполнении бюджета</w:t>
      </w:r>
      <w:r w:rsidR="006F73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01 января 202</w:t>
      </w:r>
      <w:r w:rsidR="006F73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(форма по ОКУД 0503117);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-  баланс исполнения бюджета</w:t>
      </w:r>
      <w:r w:rsidR="006F73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F73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</w:t>
      </w:r>
      <w:r w:rsidR="006F7376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01 января 202</w:t>
      </w:r>
      <w:r w:rsidR="006F73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(форма по ОКУД 0503120);</w:t>
      </w:r>
    </w:p>
    <w:p w:rsidR="0074103A" w:rsidRPr="0074103A" w:rsidRDefault="0074103A" w:rsidP="0074103A">
      <w:pPr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- отчет о финансовых результатах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</w:t>
      </w:r>
      <w:r w:rsidR="006F73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01 января 202</w:t>
      </w:r>
      <w:r w:rsidR="006F73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(форма по ОКУД 0503121);</w:t>
      </w:r>
    </w:p>
    <w:p w:rsidR="0074103A" w:rsidRPr="0074103A" w:rsidRDefault="0074103A" w:rsidP="0074103A">
      <w:pPr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-  отчет о движении денежных средств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</w:t>
      </w:r>
      <w:r w:rsidR="006F73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01 января 202</w:t>
      </w:r>
      <w:r w:rsidR="006F73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(форма по ОКУД 0503123);</w:t>
      </w:r>
    </w:p>
    <w:p w:rsidR="0074103A" w:rsidRPr="0074103A" w:rsidRDefault="0074103A" w:rsidP="0074103A">
      <w:pPr>
        <w:tabs>
          <w:tab w:val="left" w:pos="543"/>
        </w:tabs>
        <w:suppressAutoHyphens/>
        <w:spacing w:after="0" w:line="100" w:lineRule="atLeast"/>
        <w:ind w:left="1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- пояснительная записка на 01 января 202</w:t>
      </w:r>
      <w:r w:rsidR="009222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года;</w:t>
      </w:r>
    </w:p>
    <w:p w:rsidR="0074103A" w:rsidRPr="0074103A" w:rsidRDefault="0074103A" w:rsidP="007410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 xml:space="preserve">- бюджетная отчетность главных администраторов бюджетных средств 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</w:t>
      </w:r>
      <w:r w:rsidR="009222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Документы и материалы, представленные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администрацией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муниципального округа в контрольно-счетную комиссию, соответствуют объему и срокам, установленным статьей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264 БК РФ, Положению о бюджетном процессе,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 191н (далее – Инструкция № 191н).</w:t>
      </w:r>
    </w:p>
    <w:p w:rsidR="0074103A" w:rsidRPr="0074103A" w:rsidRDefault="0074103A" w:rsidP="0074103A">
      <w:pPr>
        <w:suppressAutoHyphens/>
        <w:spacing w:after="0" w:line="100" w:lineRule="atLeast"/>
        <w:ind w:right="142"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</w:p>
    <w:p w:rsidR="0074103A" w:rsidRPr="00DF41F2" w:rsidRDefault="0074103A" w:rsidP="0074103A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DF41F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2. </w:t>
      </w:r>
      <w:r w:rsidRPr="00DF41F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Изменение плановых показателей бюджета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В первоначальном варианте бюджет</w:t>
      </w:r>
      <w:r w:rsidR="0092223A"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202</w:t>
      </w:r>
      <w:r w:rsidR="0092223A"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был утвержден решением Представительного Собрания Чагодощенского муниципального </w:t>
      </w:r>
      <w:r w:rsidR="00DF41F2"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округа 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2</w:t>
      </w:r>
      <w:r w:rsidR="00DF41F2"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.12.202</w:t>
      </w:r>
      <w:r w:rsidR="00DF41F2"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="00DF41F2"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61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«О бюджете Чагодощенского муниципального </w:t>
      </w:r>
      <w:r w:rsidR="00DF41F2"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на 202</w:t>
      </w:r>
      <w:r w:rsidR="00DF41F2"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и на плановый период 202</w:t>
      </w:r>
      <w:r w:rsidR="00DF41F2"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202</w:t>
      </w:r>
      <w:r w:rsidR="00DF41F2"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годов». Указанным решением были утверждены основные характеристики бюджета</w:t>
      </w:r>
      <w:r w:rsidR="00DF41F2"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 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202</w:t>
      </w:r>
      <w:r w:rsidR="00DF41F2"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год: общий объем доходов бюджета в сумме  </w:t>
      </w:r>
      <w:r w:rsidR="00413A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1016742,8</w:t>
      </w:r>
      <w:r w:rsidRPr="00DF41F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общий объем расходов бюджета в сумме </w:t>
      </w:r>
      <w:r w:rsidR="00413A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1016742,8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 дефицит (профицит) бюджета в сумме 0,00 тыс. рублей.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бюджетным законодательством утверждение бюджета </w:t>
      </w:r>
      <w:r w:rsidR="00DF41F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округа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обеспечено до начала финансового года. Установленные Бюджетным кодексом Российской Федерации  предельные значения параметров бюджета соблюдены. 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Основные характеристики бюджета и состав показателей, содержащихся в указанном решении о бюджете, соответствуют требованиям статей 96 и 184.1 Бюджетного кодекса Российской Федерации.</w:t>
      </w:r>
    </w:p>
    <w:p w:rsidR="0074103A" w:rsidRPr="0074103A" w:rsidRDefault="00DF41F2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В течение 2023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финансового года в решение Представительного Собрания Чагодощенского муниципального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 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.12.202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61 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«О бюджете Чагодощенского муниципального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на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годов» было внесено 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 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изменени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Последняя корректировка параметров бюджета утверждена решением Представительного Собрания Чагодощенского муниципального округа от 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.12.202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103</w:t>
      </w:r>
      <w:r w:rsidR="0074103A"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Вносимые изменения в основные характеристики решения о бюджете на 202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обусловлены:</w:t>
      </w:r>
    </w:p>
    <w:p w:rsidR="0074103A" w:rsidRPr="0074103A" w:rsidRDefault="0074103A" w:rsidP="0074103A">
      <w:pPr>
        <w:numPr>
          <w:ilvl w:val="0"/>
          <w:numId w:val="26"/>
        </w:numPr>
        <w:tabs>
          <w:tab w:val="num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корректировками объемов безвозмездных поступлений от других бюджетов бюджетной системы Российской Федерации;</w:t>
      </w:r>
    </w:p>
    <w:p w:rsidR="0074103A" w:rsidRPr="0074103A" w:rsidRDefault="0074103A" w:rsidP="0074103A">
      <w:pPr>
        <w:numPr>
          <w:ilvl w:val="0"/>
          <w:numId w:val="26"/>
        </w:numPr>
        <w:tabs>
          <w:tab w:val="num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изменениями доходной части бюджета</w:t>
      </w:r>
      <w:r w:rsidR="002736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основании уточненных прогнозов поступлений, представленных главными администраторами доходов;</w:t>
      </w:r>
    </w:p>
    <w:p w:rsidR="0074103A" w:rsidRPr="0074103A" w:rsidRDefault="0074103A" w:rsidP="0074103A">
      <w:pPr>
        <w:numPr>
          <w:ilvl w:val="0"/>
          <w:numId w:val="26"/>
        </w:numPr>
        <w:tabs>
          <w:tab w:val="num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корректировками утвержденных ассигнований по расходам бюджета на суммы остатков средств бюджета, образовавшихся на счетах бюджета по состоянию на 1 января 202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года;</w:t>
      </w:r>
    </w:p>
    <w:p w:rsidR="0074103A" w:rsidRPr="0074103A" w:rsidRDefault="0074103A" w:rsidP="0074103A">
      <w:pPr>
        <w:numPr>
          <w:ilvl w:val="0"/>
          <w:numId w:val="26"/>
        </w:numPr>
        <w:tabs>
          <w:tab w:val="num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корректировками утвержденных ассигнований по расходам бюджета на финансирование действующих расходных обязательств и обеспечением финансирования вновь принятых расходных обязательств.</w:t>
      </w:r>
    </w:p>
    <w:p w:rsidR="0074103A" w:rsidRPr="0074103A" w:rsidRDefault="0074103A" w:rsidP="0074103A">
      <w:pPr>
        <w:numPr>
          <w:ilvl w:val="0"/>
          <w:numId w:val="26"/>
        </w:numPr>
        <w:tabs>
          <w:tab w:val="num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перераспределением ассигнований в части местных полномочий на суммы экономии по отдельным направлениям расходования бюджетных средств, по обращениям главных распорядителей бюджетных средств.</w:t>
      </w:r>
    </w:p>
    <w:p w:rsidR="000E7D6E" w:rsidRDefault="0074103A" w:rsidP="000E7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В ходе проведения экспертно-аналитических мероприятий и подготовке заключений на проекты решений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Представительного Собрания Чагодощенского муниципального 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 2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.12.202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61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«О бюджете Чагодощенского муниципального 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на 202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и на плановый период 202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202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годов»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и внесения изменений в  первоначально утвержденное решение нарушений бюджетного законодательства не установлено.</w:t>
      </w:r>
    </w:p>
    <w:p w:rsidR="0074103A" w:rsidRPr="0074103A" w:rsidRDefault="0074103A" w:rsidP="000E7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результате внесенных в отчетном периоде изменений и дополнений в бюджет на 202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год, доходная часть бюджета по сравнению с первоначальными значениями 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снизилась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</w:t>
      </w:r>
      <w:r w:rsidR="00413A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21147,3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на 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2,1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от первоначально утвержденного объема доходов.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Расходная часть бюджета 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также снизилась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</w:t>
      </w:r>
      <w:r w:rsidR="00413A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5606,9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на 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0,6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от первоначально утвержденного показателя объема расходов бюджета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202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финансовый год.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Дефицит бюджета увеличился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составил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13A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15540,4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тыс. рублей.</w:t>
      </w:r>
    </w:p>
    <w:p w:rsidR="0074103A" w:rsidRPr="00413A6C" w:rsidRDefault="0074103A" w:rsidP="00413A6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окончательном варианте бюджет</w:t>
      </w:r>
      <w:r w:rsidR="00273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</w:t>
      </w:r>
      <w:r w:rsidRPr="00B36E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</w:t>
      </w:r>
      <w:r w:rsidR="0027363A" w:rsidRPr="00B36E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B36E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утвержден по доходам в сумме </w:t>
      </w:r>
      <w:r w:rsidR="00413A6C" w:rsidRPr="00B36E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995595,5</w:t>
      </w:r>
      <w:r w:rsidRPr="00B36E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 по расходам в сумме </w:t>
      </w:r>
      <w:r w:rsidR="00413A6C" w:rsidRPr="00B36E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1011135,9</w:t>
      </w:r>
      <w:r w:rsidRPr="00B36E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 с дефицитом бюджета в размере </w:t>
      </w:r>
      <w:r w:rsidR="00413A6C" w:rsidRPr="00B36E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15540,4 тыс. ру</w:t>
      </w:r>
      <w:r w:rsidR="00413A6C" w:rsidRPr="00413A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блей, что соответствует </w:t>
      </w:r>
      <w:r w:rsidRPr="00413A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сумм</w:t>
      </w:r>
      <w:r w:rsidR="00413A6C" w:rsidRPr="00413A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ам</w:t>
      </w:r>
      <w:r w:rsidRPr="00413A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утвержденных бюджетных назначений, отраженная в форме 0503117 </w:t>
      </w:r>
      <w:r w:rsidRPr="00413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13A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Отчет об исполнении бюджета</w:t>
      </w:r>
      <w:r w:rsidRPr="00413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413A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разделу 1 </w:t>
      </w:r>
      <w:r w:rsidRPr="00413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13A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Доходы бюджета</w:t>
      </w:r>
      <w:r w:rsidRPr="00413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413A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разделу 2 «</w:t>
      </w:r>
      <w:r w:rsidRPr="00413A6C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Р</w:t>
      </w:r>
      <w:r w:rsidRPr="00413A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асходы бюджета</w:t>
      </w:r>
      <w:r w:rsidR="00413A6C" w:rsidRPr="00413A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413A6C" w:rsidRDefault="00413A6C" w:rsidP="007410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03A" w:rsidRPr="0074103A" w:rsidRDefault="0074103A" w:rsidP="007410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3.Общая характеристика исполнения бюджета за 202</w:t>
      </w:r>
      <w:r w:rsidR="00AC7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41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74103A" w:rsidRPr="00ED74D1" w:rsidRDefault="0074103A" w:rsidP="00FA366B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74D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Согласно представленному отчету об исполнении бюджета</w:t>
      </w:r>
      <w:r w:rsidR="00AC70ED" w:rsidRPr="00ED74D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округа</w:t>
      </w:r>
      <w:r w:rsidRPr="00ED74D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за 202</w:t>
      </w:r>
      <w:r w:rsidR="00AC70ED" w:rsidRPr="00ED74D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Pr="00ED74D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год д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оходная часть бюджета за 202</w:t>
      </w:r>
      <w:r w:rsidR="00AC70ED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исполнена  в объеме  </w:t>
      </w:r>
      <w:r w:rsidR="00AC70ED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1002491,4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 Таким образом, п</w:t>
      </w:r>
      <w:r w:rsidR="00AC70ED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лан по доходам выполнен на 100,7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 по отношению к уточненным годовым бюджетным назначениям. По сравнению с 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исполнением консолидированного бюджета за 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 w:rsidR="00AC70ED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процент исполнения доходной части </w:t>
      </w:r>
      <w:r w:rsidR="000E7D6E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консолидированного 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бюджета уменьшился на </w:t>
      </w:r>
      <w:r w:rsidR="00AC70ED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,2%. 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Бюджетные назначения по доходам, по сравнению с аналогичным периодом прошлого года, 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увеличились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 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338701,5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на 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51,6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%, поступление доходов за 202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также 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увеличилось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339369,3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на 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51,2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 по 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сравнению с поступлением за 2022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год.</w:t>
      </w:r>
    </w:p>
    <w:p w:rsidR="0074103A" w:rsidRPr="0074103A" w:rsidRDefault="0074103A" w:rsidP="00FA36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Расходная часть бюджета</w:t>
      </w:r>
      <w:r w:rsidR="00821D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202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исполнена в объеме 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991412,7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 Таким образом, исполнение по расходам составило 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98</w:t>
      </w:r>
      <w:r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425E09" w:rsidRP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по отношению к плану на год. По сравнению с аналогичным периодом 202</w:t>
      </w:r>
      <w:r w:rsidR="00425E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процент исполнения расходной части бюджета </w:t>
      </w:r>
      <w:r w:rsidR="00425E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снизился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</w:t>
      </w:r>
      <w:r w:rsidR="00425E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425E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%.</w:t>
      </w:r>
    </w:p>
    <w:p w:rsidR="0074103A" w:rsidRPr="0074103A" w:rsidRDefault="0074103A" w:rsidP="007410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Бюджетные назначения по расходам, по сравнению с аналогичным периодом прошлого года, </w:t>
      </w:r>
      <w:r w:rsid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увеличились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</w:t>
      </w:r>
      <w:r w:rsid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329064,7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на </w:t>
      </w:r>
      <w:r w:rsid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48,2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%, кассовые расходы за год </w:t>
      </w:r>
      <w:r w:rsid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так же увеличились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</w:t>
      </w:r>
      <w:r w:rsid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318048,6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на </w:t>
      </w:r>
      <w:r w:rsidR="00ED74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47,2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по сравнению с прошлым отчетным периодом.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Анализ основных параметров бюджета</w:t>
      </w:r>
      <w:r w:rsidR="005F61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202</w:t>
      </w:r>
      <w:r w:rsidR="00ED74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по сравнению с 202</w:t>
      </w:r>
      <w:r w:rsidR="00ED74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годом представлен в таблице №1.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Таблица №1                                                                                     </w:t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  <w:t xml:space="preserve">                                                                                                               (тыс. рублей)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1134"/>
        <w:gridCol w:w="1134"/>
        <w:gridCol w:w="851"/>
        <w:gridCol w:w="1133"/>
        <w:gridCol w:w="851"/>
        <w:gridCol w:w="993"/>
        <w:gridCol w:w="1133"/>
      </w:tblGrid>
      <w:tr w:rsidR="0074103A" w:rsidRPr="0074103A" w:rsidTr="00C56A3C">
        <w:tc>
          <w:tcPr>
            <w:tcW w:w="1526" w:type="dxa"/>
            <w:vMerge w:val="restart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Уточненные бюджетные</w:t>
            </w:r>
          </w:p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назначения</w:t>
            </w:r>
          </w:p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(по состоянию</w:t>
            </w:r>
          </w:p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на 31 декабря)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Исполнение бюджета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ind w:left="-215" w:firstLine="215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Динамика бюджетных показателей (+/-)</w:t>
            </w:r>
          </w:p>
        </w:tc>
      </w:tr>
      <w:tr w:rsidR="00C56A3C" w:rsidRPr="0074103A" w:rsidTr="00C56A3C">
        <w:tc>
          <w:tcPr>
            <w:tcW w:w="1526" w:type="dxa"/>
            <w:vMerge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C56A3C" w:rsidP="00723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56A3C" w:rsidRPr="0074103A" w:rsidRDefault="00C56A3C" w:rsidP="00C56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</w:t>
            </w: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6A3C" w:rsidRPr="0074103A" w:rsidRDefault="00C56A3C" w:rsidP="00C56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</w:t>
            </w: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исполнение</w:t>
            </w:r>
          </w:p>
        </w:tc>
      </w:tr>
      <w:tr w:rsidR="00C56A3C" w:rsidRPr="0074103A" w:rsidTr="00C56A3C">
        <w:tc>
          <w:tcPr>
            <w:tcW w:w="1526" w:type="dxa"/>
            <w:vMerge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C56A3C" w:rsidP="00723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сумма,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сумма,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сумма, 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сумма, 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сумма, тыс. руб.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сумма, тыс. руб.</w:t>
            </w:r>
          </w:p>
        </w:tc>
      </w:tr>
      <w:tr w:rsidR="00C56A3C" w:rsidRPr="0074103A" w:rsidTr="00C56A3C">
        <w:tc>
          <w:tcPr>
            <w:tcW w:w="1526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9C679E" w:rsidP="00723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656893,9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995595,5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9C679E" w:rsidP="00723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663122,1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6A3C" w:rsidRPr="0074103A" w:rsidRDefault="00C56A3C" w:rsidP="00723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100,9%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6A3C" w:rsidRPr="00C56A3C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56A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1002491,4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100,7%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A3C" w:rsidRPr="00EF3F36" w:rsidRDefault="009C679E" w:rsidP="00723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F3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338701,6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6A3C" w:rsidRPr="0074103A" w:rsidRDefault="00EF3F36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339369,3</w:t>
            </w:r>
          </w:p>
        </w:tc>
      </w:tr>
      <w:tr w:rsidR="00C56A3C" w:rsidRPr="0074103A" w:rsidTr="00C56A3C">
        <w:tc>
          <w:tcPr>
            <w:tcW w:w="1526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Расходы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9C679E" w:rsidP="00723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682071,2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C56A3C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56A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1011135,9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9C679E" w:rsidP="00723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673364,1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6A3C" w:rsidRPr="0074103A" w:rsidRDefault="00C56A3C" w:rsidP="00723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99,0%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6A3C" w:rsidRPr="00C56A3C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56A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991412,7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98,1%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A3C" w:rsidRPr="00EF3F36" w:rsidRDefault="009C679E" w:rsidP="00723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F3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329064,7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6A3C" w:rsidRPr="0074103A" w:rsidRDefault="00EF3F36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318048,6</w:t>
            </w:r>
          </w:p>
        </w:tc>
      </w:tr>
      <w:tr w:rsidR="00C56A3C" w:rsidRPr="0074103A" w:rsidTr="00C56A3C">
        <w:tc>
          <w:tcPr>
            <w:tcW w:w="1526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Дефицит (-), профицит (+)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C56A3C" w:rsidP="009C67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  <w:r w:rsidR="009C679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25177,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C56A3C" w:rsidP="00664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-15540,</w:t>
            </w:r>
            <w:r w:rsidR="00664A0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A3C" w:rsidRPr="0074103A" w:rsidRDefault="009C679E" w:rsidP="00723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-10242,0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6A3C" w:rsidRPr="0074103A" w:rsidRDefault="00C56A3C" w:rsidP="00723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+11078,7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56A3C" w:rsidRPr="0074103A" w:rsidRDefault="00C56A3C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</w:p>
        </w:tc>
      </w:tr>
    </w:tbl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widowControl w:val="0"/>
        <w:suppressAutoHyphens/>
        <w:autoSpaceDN w:val="0"/>
        <w:spacing w:before="12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Результатом исполнения бюджета</w:t>
      </w:r>
      <w:r w:rsidR="00664A0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за 202</w:t>
      </w:r>
      <w:r w:rsidR="00ED74D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год стало образование </w:t>
      </w:r>
      <w:r w:rsidR="00ED74D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профицита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в сумме </w:t>
      </w:r>
      <w:r w:rsidR="00ED74D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11078,7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рублей. Для сравнения, результатом исполнения бюджета за 202</w:t>
      </w:r>
      <w:r w:rsidR="0040440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год был </w:t>
      </w:r>
      <w:r w:rsidR="0040440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дефицит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в сумме 10226,0 тыс. рублей.</w:t>
      </w:r>
    </w:p>
    <w:p w:rsidR="0074103A" w:rsidRPr="0074103A" w:rsidRDefault="0074103A" w:rsidP="0074103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D46C8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Остатки средств бюджета</w:t>
      </w:r>
      <w:r w:rsidR="00404402" w:rsidRPr="00D46C8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округа</w:t>
      </w:r>
      <w:r w:rsidRPr="00D46C8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на счетах по учету средств бюджета </w:t>
      </w:r>
      <w:r w:rsidR="00D33CD5" w:rsidRPr="00D46C8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увеличились на </w:t>
      </w:r>
      <w:r w:rsidR="00D46C8F" w:rsidRPr="00D46C8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11078,7</w:t>
      </w:r>
      <w:r w:rsidRPr="00D46C8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D46C8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тыс. рублей или на </w:t>
      </w:r>
      <w:r w:rsidR="00D46C8F" w:rsidRPr="00D46C8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67,3</w:t>
      </w:r>
      <w:r w:rsidRPr="00D46C8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%, и по состоянию на 01.01.202</w:t>
      </w:r>
      <w:r w:rsidR="001C6033" w:rsidRPr="00D46C8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</w:t>
      </w:r>
      <w:r w:rsidRPr="00D46C8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составили </w:t>
      </w:r>
      <w:r w:rsidR="00D46C8F" w:rsidRPr="00D46C8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27532,4</w:t>
      </w:r>
      <w:r w:rsidRPr="00D46C8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тыс. </w:t>
      </w:r>
      <w:r w:rsidRPr="00D46C8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рублей</w:t>
      </w:r>
      <w:r w:rsidR="00FD3C39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(ф.0503120)</w:t>
      </w:r>
      <w:r w:rsidRPr="00D46C8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74103A" w:rsidRPr="0074103A" w:rsidRDefault="0074103A" w:rsidP="0074103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4103A" w:rsidRPr="0074103A" w:rsidRDefault="0074103A" w:rsidP="00741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4. Исполнение бюджета по доходам</w:t>
      </w:r>
    </w:p>
    <w:p w:rsidR="0074103A" w:rsidRPr="0074103A" w:rsidRDefault="0074103A" w:rsidP="0074103A">
      <w:pPr>
        <w:keepNext/>
        <w:suppressAutoHyphens/>
        <w:autoSpaceDN w:val="0"/>
        <w:spacing w:before="119" w:after="119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"/>
          <w:sz w:val="28"/>
          <w:szCs w:val="20"/>
          <w:lang w:eastAsia="zh-CN"/>
        </w:rPr>
      </w:pPr>
      <w:bookmarkStart w:id="1" w:name="__RefHeading__339_1519769981"/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0"/>
          <w:lang w:eastAsia="zh-CN"/>
        </w:rPr>
        <w:t>4.1. Общая характеристика исполнения доходов</w:t>
      </w:r>
      <w:bookmarkEnd w:id="1"/>
    </w:p>
    <w:p w:rsidR="0074103A" w:rsidRPr="0074103A" w:rsidRDefault="00856385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</w:rPr>
        <w:t xml:space="preserve">Решением Представительного Собрания Чагодощенского муниципального </w:t>
      </w:r>
      <w:r w:rsidR="005A03C3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</w:rPr>
        <w:t>.12.2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</w:rPr>
        <w:t xml:space="preserve"> г №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</w:rPr>
        <w:t xml:space="preserve"> «О бюджете Чагодощенского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</w:rPr>
        <w:t xml:space="preserve"> годов», доходы бюджета были утверждены в сумме  </w:t>
      </w:r>
      <w:r>
        <w:rPr>
          <w:rFonts w:ascii="Times New Roman" w:eastAsia="Times New Roman" w:hAnsi="Times New Roman" w:cs="Times New Roman"/>
          <w:sz w:val="28"/>
          <w:szCs w:val="28"/>
        </w:rPr>
        <w:t>1016742,8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доходную часть бюджета района вносились </w:t>
      </w:r>
      <w:r w:rsidR="008563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8563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внесения изменений план по доходам утвержденный Решением Представительного Собрания Чагодощенского муниципального округа  от 2</w:t>
      </w:r>
      <w:r w:rsidR="008563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23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</w:t>
      </w:r>
      <w:r w:rsidR="008563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Представительного Собрания Чагодощенского муниципального </w:t>
      </w:r>
      <w:r w:rsidR="0085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Чагодощенского муниципального </w:t>
      </w:r>
      <w:r w:rsidR="00856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56385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и плановый период 2024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563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 </w:t>
      </w:r>
      <w:r w:rsidR="0085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 21147,3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856385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том числе: </w:t>
      </w:r>
    </w:p>
    <w:p w:rsidR="0074103A" w:rsidRPr="0074103A" w:rsidRDefault="0074103A" w:rsidP="0074103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налоговым и неналоговым доходам - </w:t>
      </w:r>
      <w:r w:rsidR="00723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74E91">
        <w:rPr>
          <w:rFonts w:ascii="Times New Roman" w:eastAsia="Times New Roman" w:hAnsi="Times New Roman" w:cs="Times New Roman"/>
          <w:sz w:val="28"/>
          <w:szCs w:val="28"/>
          <w:lang w:eastAsia="ru-RU"/>
        </w:rPr>
        <w:t>186509,0</w:t>
      </w:r>
      <w:r w:rsidR="0072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до </w:t>
      </w:r>
      <w:r w:rsidR="0072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E91">
        <w:rPr>
          <w:rFonts w:ascii="Times New Roman" w:eastAsia="Times New Roman" w:hAnsi="Times New Roman" w:cs="Times New Roman"/>
          <w:sz w:val="28"/>
          <w:szCs w:val="28"/>
          <w:lang w:eastAsia="ru-RU"/>
        </w:rPr>
        <w:t>175911,3</w:t>
      </w:r>
      <w:r w:rsidR="0072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т. е на </w:t>
      </w:r>
      <w:r w:rsidR="00723ED4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774E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4103A" w:rsidRPr="0074103A" w:rsidRDefault="0074103A" w:rsidP="0074103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безвозмездным поступлениям – </w:t>
      </w:r>
      <w:r w:rsidR="0077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7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830233,8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до  </w:t>
      </w:r>
      <w:r w:rsidR="00774E91">
        <w:rPr>
          <w:rFonts w:ascii="Times New Roman" w:eastAsia="Times New Roman" w:hAnsi="Times New Roman" w:cs="Times New Roman"/>
          <w:sz w:val="28"/>
          <w:szCs w:val="28"/>
          <w:lang w:eastAsia="ru-RU"/>
        </w:rPr>
        <w:t>809041,2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т. е на </w:t>
      </w:r>
      <w:r w:rsidR="00774E91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774E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</w:t>
      </w:r>
      <w:r w:rsidR="00774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поступило доходов в сумме </w:t>
      </w:r>
      <w:r w:rsidR="00774E91">
        <w:rPr>
          <w:rFonts w:ascii="Times New Roman" w:eastAsia="Times New Roman" w:hAnsi="Times New Roman" w:cs="Times New Roman"/>
          <w:sz w:val="28"/>
          <w:szCs w:val="28"/>
          <w:lang w:eastAsia="ru-RU"/>
        </w:rPr>
        <w:t>1002491,4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(100,</w:t>
      </w:r>
      <w:r w:rsidR="00774E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уточненных плановых назначений), в том числе налоговые и неналоговые – 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187611,8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803392,5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99,3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доходы бюджета   в 202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 202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339369,3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51,2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%,в том числе за счет 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на 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340556,4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6 тыс. руб. (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73,5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так же за счет увеличения по  налоговым и неналоговым доходам на 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496,5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 (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в 202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80,1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план по безвозмездным поступлениям исполнен на 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99,3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бюджет 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поступило 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5648,7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исполнении бюджета по наиболее значимым источникам поступлений доходов в сравнении с 202</w:t>
      </w:r>
      <w:r w:rsidR="005215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представлены в таблице № 2:</w:t>
      </w:r>
    </w:p>
    <w:p w:rsidR="0074103A" w:rsidRPr="0074103A" w:rsidRDefault="0074103A" w:rsidP="0074103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03A" w:rsidRDefault="0074103A" w:rsidP="00741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10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Таблица №  2 (тыс.рублей)</w:t>
      </w:r>
    </w:p>
    <w:tbl>
      <w:tblPr>
        <w:tblW w:w="9620" w:type="dxa"/>
        <w:tblInd w:w="96" w:type="dxa"/>
        <w:tblLook w:val="04A0"/>
      </w:tblPr>
      <w:tblGrid>
        <w:gridCol w:w="1855"/>
        <w:gridCol w:w="1081"/>
        <w:gridCol w:w="971"/>
        <w:gridCol w:w="1038"/>
        <w:gridCol w:w="911"/>
        <w:gridCol w:w="911"/>
        <w:gridCol w:w="971"/>
        <w:gridCol w:w="911"/>
        <w:gridCol w:w="971"/>
      </w:tblGrid>
      <w:tr w:rsidR="00723ED4" w:rsidRPr="00723ED4" w:rsidTr="00723ED4">
        <w:trPr>
          <w:trHeight w:val="300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вида доходов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Уточненный план доходов на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 в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испол-нения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% 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Справочно:</w:t>
            </w:r>
          </w:p>
        </w:tc>
      </w:tr>
      <w:tr w:rsidR="00723ED4" w:rsidRPr="00723ED4" w:rsidTr="00723ED4">
        <w:trPr>
          <w:trHeight w:val="288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 в 2022году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 % в 2022 году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 в 2023 году по сравнению с 2022 годом</w:t>
            </w:r>
          </w:p>
        </w:tc>
      </w:tr>
      <w:tr w:rsidR="00723ED4" w:rsidRPr="00723ED4" w:rsidTr="00723ED4">
        <w:trPr>
          <w:trHeight w:val="288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3ED4" w:rsidRPr="00723ED4" w:rsidTr="00723ED4">
        <w:trPr>
          <w:trHeight w:val="288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3ED4" w:rsidRPr="00723ED4" w:rsidTr="00723ED4">
        <w:trPr>
          <w:trHeight w:val="300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3ED4" w:rsidRPr="00723ED4" w:rsidTr="00723ED4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995595,5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1002491,4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663122,1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151,2%</w:t>
            </w:r>
          </w:p>
        </w:tc>
      </w:tr>
      <w:tr w:rsidR="00723ED4" w:rsidRPr="00723ED4" w:rsidTr="00723ED4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 доходы, 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175911,3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187611,8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4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</w:t>
            </w:r>
            <w:r w:rsidR="0042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100,3%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доходы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149167,7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145192,7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102,7%</w:t>
            </w:r>
          </w:p>
        </w:tc>
      </w:tr>
      <w:tr w:rsidR="00723ED4" w:rsidRPr="00723ED4" w:rsidTr="00723ED4">
        <w:trPr>
          <w:trHeight w:val="6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товары, реализуемые на территории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109,5%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совокупный доход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90,4%</w:t>
            </w:r>
          </w:p>
        </w:tc>
      </w:tr>
      <w:tr w:rsidR="00723ED4" w:rsidRPr="00723ED4" w:rsidTr="00723ED4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-1470,6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79,6%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пошлина, сборы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70,9%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Неналоговые  доходы, 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312,7%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87,2%</w:t>
            </w:r>
          </w:p>
        </w:tc>
      </w:tr>
      <w:tr w:rsidR="00723ED4" w:rsidRPr="00723ED4" w:rsidTr="00723ED4">
        <w:trPr>
          <w:trHeight w:val="88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и перерасчет по отмененным налогам, сборам и иным обязательным платежам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81,6%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91,9%</w:t>
            </w:r>
          </w:p>
        </w:tc>
      </w:tr>
      <w:tr w:rsidR="00723ED4" w:rsidRPr="00723ED4" w:rsidTr="00723ED4">
        <w:trPr>
          <w:trHeight w:val="73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108,1%</w:t>
            </w:r>
          </w:p>
        </w:tc>
      </w:tr>
      <w:tr w:rsidR="00723ED4" w:rsidRPr="00723ED4" w:rsidTr="00723ED4">
        <w:trPr>
          <w:trHeight w:val="6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34,7%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  санкции, возмещение ущерба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105,9%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838,2%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809041,2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803392,5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-5648,7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80,1%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462836,1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173,6%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Дотации бюджетам бюджетной системы РФ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199625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199625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128162,1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155,8%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систеиы РФ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442209,8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438071,5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-4138,3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43,7%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171934,6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254,8%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систеиы РФ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160335,3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160173,8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99,4%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5612,2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596,2%</w:t>
            </w:r>
          </w:p>
        </w:tc>
      </w:tr>
      <w:tr w:rsidR="00723ED4" w:rsidRPr="00723ED4" w:rsidTr="00723ED4">
        <w:trPr>
          <w:trHeight w:val="85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723ED4" w:rsidRPr="00723ED4" w:rsidTr="00723ED4">
        <w:trPr>
          <w:trHeight w:val="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50,4%</w:t>
            </w:r>
          </w:p>
        </w:tc>
      </w:tr>
      <w:tr w:rsidR="00723ED4" w:rsidRPr="00723ED4" w:rsidTr="00723ED4">
        <w:trPr>
          <w:trHeight w:val="12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-947,7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-1518,4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3ED4" w:rsidRPr="00723ED4" w:rsidRDefault="00723ED4" w:rsidP="0072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3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62,4%</w:t>
            </w:r>
          </w:p>
        </w:tc>
      </w:tr>
    </w:tbl>
    <w:p w:rsidR="00723ED4" w:rsidRDefault="00723ED4" w:rsidP="00741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3ED4" w:rsidRDefault="00723ED4" w:rsidP="00741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3ED4" w:rsidRPr="0074103A" w:rsidRDefault="00723ED4" w:rsidP="00741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103A" w:rsidRPr="0074103A" w:rsidRDefault="0074103A" w:rsidP="0074103A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4.2  </w:t>
      </w: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Налоговые и неналоговые  доходы</w:t>
      </w:r>
    </w:p>
    <w:p w:rsidR="0074103A" w:rsidRPr="0074103A" w:rsidRDefault="0074103A" w:rsidP="007504B8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Налоговые доходы 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Анализ исполнения бюджета</w:t>
      </w:r>
      <w:r w:rsidR="00ED71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налоговым доходам проведен на </w:t>
      </w:r>
      <w:r w:rsidR="00ED71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основании данных  плана  на 2023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и отчетности Финансового  управления  администрации Чагодощенского муниципального округа. В процессе исполнения решения о бюджете</w:t>
      </w:r>
      <w:r w:rsidR="00ED71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202</w:t>
      </w:r>
      <w:r w:rsidR="00ED71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плановые назначения по налоговым доходам в целом скорректированы в сторону увеличения в  сумме </w:t>
      </w:r>
      <w:r w:rsid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3839,7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тыс. рублей.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доходы зачислены в бюджет 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187611,8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106,7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назначений, их доля в доходной части бюджета составила 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="00422C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(для сравнения: в 202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этот показатель составлял 2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74103A" w:rsidRPr="0074103A" w:rsidRDefault="0074103A" w:rsidP="0074103A">
      <w:pPr>
        <w:tabs>
          <w:tab w:val="left" w:pos="87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предусмотренных решением о бюджете источников налоговых доходов бюджета 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 поступлений налогов перевыполнен на 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11700,5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 увеличение  к уровню прошлого года составило 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4103A" w:rsidRPr="0074103A" w:rsidRDefault="0074103A" w:rsidP="0074103A">
      <w:pPr>
        <w:tabs>
          <w:tab w:val="left" w:pos="8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объем поступлений в результате перевыполнения плана:</w:t>
      </w:r>
    </w:p>
    <w:p w:rsidR="0074103A" w:rsidRPr="0074103A" w:rsidRDefault="0074103A" w:rsidP="0074103A">
      <w:pPr>
        <w:tabs>
          <w:tab w:val="left" w:pos="8778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на сумму 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12764,5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  на 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сравнению  с 202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поступление налога увеличилось   на </w:t>
      </w:r>
      <w:r w:rsidR="00ED71D1">
        <w:rPr>
          <w:rFonts w:ascii="Times New Roman" w:eastAsia="Times New Roman" w:hAnsi="Times New Roman" w:cs="Times New Roman"/>
          <w:sz w:val="28"/>
          <w:szCs w:val="28"/>
          <w:lang w:eastAsia="ru-RU"/>
        </w:rPr>
        <w:t>3975,0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564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(в структуре налоговых доходов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бюджета</w:t>
      </w:r>
      <w:r w:rsidR="00564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по-прежнему, составляет наибольший удельный вес – </w:t>
      </w:r>
      <w:r w:rsidR="00ED71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79,5%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);</w:t>
      </w:r>
    </w:p>
    <w:p w:rsidR="0074103A" w:rsidRDefault="0074103A" w:rsidP="0074103A">
      <w:pPr>
        <w:tabs>
          <w:tab w:val="left" w:pos="8778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-по налогу на </w:t>
      </w:r>
      <w:r w:rsidR="00564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товары, реализуемые на территории РФ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64825">
        <w:rPr>
          <w:rFonts w:ascii="Times New Roman" w:eastAsia="Times New Roman" w:hAnsi="Times New Roman" w:cs="Times New Roman"/>
          <w:sz w:val="28"/>
          <w:szCs w:val="28"/>
          <w:lang w:eastAsia="ru-RU"/>
        </w:rPr>
        <w:t>875,5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  на </w:t>
      </w:r>
      <w:r w:rsidR="00564825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сравнению  с 202</w:t>
      </w:r>
      <w:r w:rsidR="0056482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годом поступление налога увеличилось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64825">
        <w:rPr>
          <w:rFonts w:ascii="Times New Roman" w:eastAsia="Times New Roman" w:hAnsi="Times New Roman" w:cs="Times New Roman"/>
          <w:sz w:val="28"/>
          <w:szCs w:val="28"/>
          <w:lang w:eastAsia="ru-RU"/>
        </w:rPr>
        <w:t>875,5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удельный вес структуре налоговых доходов бюджета</w:t>
      </w:r>
      <w:r w:rsidR="00564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составляет– </w:t>
      </w:r>
      <w:r w:rsidR="00564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5,4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%;</w:t>
      </w:r>
    </w:p>
    <w:p w:rsidR="00564825" w:rsidRPr="0074103A" w:rsidRDefault="00564825" w:rsidP="0074103A">
      <w:pPr>
        <w:tabs>
          <w:tab w:val="left" w:pos="8778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Не исполнение показателей плана сложилось по следующим налогам: </w:t>
      </w:r>
    </w:p>
    <w:p w:rsidR="0074103A" w:rsidRPr="0074103A" w:rsidRDefault="0074103A" w:rsidP="0074103A">
      <w:pPr>
        <w:tabs>
          <w:tab w:val="left" w:pos="8778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-государственная пошлина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64825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  на </w:t>
      </w:r>
      <w:r w:rsidR="00564825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сравнению  с 202</w:t>
      </w:r>
      <w:r w:rsidR="005648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поступление налога снизилось  на </w:t>
      </w:r>
      <w:r w:rsidR="00564825">
        <w:rPr>
          <w:rFonts w:ascii="Times New Roman" w:eastAsia="Times New Roman" w:hAnsi="Times New Roman" w:cs="Times New Roman"/>
          <w:sz w:val="28"/>
          <w:szCs w:val="28"/>
          <w:lang w:eastAsia="ru-RU"/>
        </w:rPr>
        <w:t>412,8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удельный вес структуре налоговых доходов бюджета</w:t>
      </w:r>
      <w:r w:rsidR="00DA64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составляет– 0,</w:t>
      </w:r>
      <w:r w:rsidR="00564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</w:t>
      </w:r>
      <w:r w:rsidR="00564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74103A" w:rsidRDefault="00564825" w:rsidP="0074103A">
      <w:pPr>
        <w:tabs>
          <w:tab w:val="left" w:pos="8778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-п</w:t>
      </w:r>
      <w:r w:rsidR="0074103A"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налогу на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совокупный доход</w:t>
      </w:r>
      <w:r w:rsidR="0074103A"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план не исполнен  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517,0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сравнению  с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поступление налога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меньшилось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2181,0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74103A"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удельный вес структуре налоговых доходов бюджета </w:t>
      </w:r>
      <w:r w:rsidR="00DA64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округа </w:t>
      </w:r>
      <w:r w:rsidR="0074103A"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составляет–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74103A"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DA64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74103A"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%;</w:t>
      </w:r>
    </w:p>
    <w:p w:rsidR="00DA645F" w:rsidRDefault="00DA645F" w:rsidP="00DA645F">
      <w:pPr>
        <w:tabs>
          <w:tab w:val="left" w:pos="8778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по налогу на имущество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план не исполнен 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1470,6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сравнению  с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поступление налога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меньшилось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1760,2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удельный вес структуре налоговых доходов бюджета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округа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составляет–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%;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В годовом отчете об исполнении бюджета</w:t>
      </w:r>
      <w:r w:rsidR="00DA64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202</w:t>
      </w:r>
      <w:r w:rsidR="00DA64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 налоговые и неналоговые доходы бюджета</w:t>
      </w:r>
      <w:r w:rsidR="00DA64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подразделены на виды, как это предусмотрено положениями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74103A" w:rsidRPr="00C44969" w:rsidRDefault="0074103A" w:rsidP="0074103A">
      <w:pPr>
        <w:tabs>
          <w:tab w:val="left" w:pos="87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9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Неналоговые доходы</w:t>
      </w:r>
    </w:p>
    <w:p w:rsidR="0074103A" w:rsidRPr="00C44969" w:rsidRDefault="0074103A" w:rsidP="007410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годового отчета неналоговые доходы поступили в сумме                      </w:t>
      </w:r>
      <w:r w:rsidR="00F12006" w:rsidRP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11487,1</w:t>
      </w:r>
      <w:r w:rsidRP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составило</w:t>
      </w:r>
      <w:r w:rsidR="001C0933" w:rsidRP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1,1</w:t>
      </w:r>
      <w:r w:rsidRP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1C0933" w:rsidRP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поступления доходов бюджета</w:t>
      </w:r>
      <w:r w:rsidRP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103A" w:rsidRPr="00C44969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В 202</w:t>
      </w:r>
      <w:r w:rsidR="001C0933" w:rsidRP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из 6 неналоговых доходных источников, утвержденных при формировании бюджета, бюджетные назначения уточнялись в сторону  увеличения по 5 неналоговым доходам. </w:t>
      </w:r>
    </w:p>
    <w:p w:rsidR="0074103A" w:rsidRPr="00C44969" w:rsidRDefault="0074103A" w:rsidP="0074103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План поступлений неналоговых доходов за отчетный период перевыполнен на </w:t>
      </w:r>
      <w:r w:rsid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844,1</w:t>
      </w:r>
      <w:r w:rsidRP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тыс. рублей или на </w:t>
      </w:r>
      <w:r w:rsid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7,9</w:t>
      </w:r>
      <w:r w:rsidRP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%,  к уровню прошлого года </w:t>
      </w:r>
      <w:r w:rsid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снижение </w:t>
      </w:r>
      <w:r w:rsidRP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составил</w:t>
      </w:r>
      <w:r w:rsid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12,8</w:t>
      </w:r>
      <w:r w:rsidRP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%. </w:t>
      </w:r>
    </w:p>
    <w:p w:rsidR="0074103A" w:rsidRPr="0074103A" w:rsidRDefault="0074103A" w:rsidP="007410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течение отчетного периода неналоговые доходы бюджета </w:t>
      </w:r>
      <w:r w:rsid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округа</w:t>
      </w:r>
      <w:r w:rsidRP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 сравнению с первоначально утвержденными бюджетными назначениями, увеличены на </w:t>
      </w:r>
      <w:r w:rsid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57,5</w:t>
      </w:r>
      <w:r w:rsidRPr="00C449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%, что соответствует статье 37 БК РФ, в части реалистичности планирования доходов.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структуре неналоговых доходов наибольший удельный вес занимают:</w:t>
      </w:r>
    </w:p>
    <w:p w:rsidR="00C44969" w:rsidRPr="0074103A" w:rsidRDefault="00C44969" w:rsidP="00C449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использования имущества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29,9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3435,4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план выполнен на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 , по сравнению  с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поступление снизилось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776,7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платежи за пользование природными ресурсами – 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23,4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сумме 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2693,7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план выполнен на 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100,2%, по сравнению  с 2022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поступление увеличилось    на 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238,7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8,1%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оказания платных услуг и компенсации затрат государства – 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сумме 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2695,8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план выполнен на 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110,3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 , по сравнению  с 202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поступление увеличилось   на 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202,2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49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продажи материальных и нематериальных активов – 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сумме 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671,0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план выполнен на 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97,2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сравнению  с 202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поступление снизилось   на 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1264,1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65,3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-штрафы, санкции, возмещение ущерба -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14,4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сумме 1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649,2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план выполнен на 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118,9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сравнению  с 202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поступление увеличилось на 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92,3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2 тыс. рублей (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8 раз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; 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-прочие неналоговые доходы – 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сумме 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342,0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план выполнен на 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156,9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 , по сравнению  с 202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поступление 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BD4B34">
        <w:rPr>
          <w:rFonts w:ascii="Times New Roman" w:eastAsia="Times New Roman" w:hAnsi="Times New Roman" w:cs="Times New Roman"/>
          <w:sz w:val="28"/>
          <w:szCs w:val="28"/>
          <w:lang w:eastAsia="ru-RU"/>
        </w:rPr>
        <w:t>301,2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(90,6%).</w:t>
      </w: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Данные по налоговым и неналоговым доходам представлены в таблице № 3.</w:t>
      </w: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4103A" w:rsidRPr="0074103A" w:rsidSect="0074103A">
          <w:footerReference w:type="default" r:id="rId8"/>
          <w:footerReference w:type="first" r:id="rId9"/>
          <w:pgSz w:w="11906" w:h="16838"/>
          <w:pgMar w:top="1134" w:right="566" w:bottom="1134" w:left="1260" w:header="708" w:footer="708" w:gutter="0"/>
          <w:pgNumType w:start="1"/>
          <w:cols w:space="708"/>
          <w:docGrid w:linePitch="360"/>
        </w:sectPr>
      </w:pPr>
    </w:p>
    <w:tbl>
      <w:tblPr>
        <w:tblW w:w="14754" w:type="dxa"/>
        <w:tblInd w:w="96" w:type="dxa"/>
        <w:tblLayout w:type="fixed"/>
        <w:tblLook w:val="04A0"/>
      </w:tblPr>
      <w:tblGrid>
        <w:gridCol w:w="4123"/>
        <w:gridCol w:w="1418"/>
        <w:gridCol w:w="992"/>
        <w:gridCol w:w="1276"/>
        <w:gridCol w:w="1275"/>
        <w:gridCol w:w="1276"/>
        <w:gridCol w:w="1559"/>
        <w:gridCol w:w="1560"/>
        <w:gridCol w:w="1275"/>
      </w:tblGrid>
      <w:tr w:rsidR="0051008C" w:rsidTr="0051008C">
        <w:trPr>
          <w:trHeight w:val="300"/>
        </w:trPr>
        <w:tc>
          <w:tcPr>
            <w:tcW w:w="4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Исполнено 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08C" w:rsidRDefault="0051008C" w:rsidP="005100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в %  2023 г к 2022 г</w:t>
            </w:r>
          </w:p>
        </w:tc>
      </w:tr>
      <w:tr w:rsidR="0051008C" w:rsidTr="0051008C">
        <w:trPr>
          <w:trHeight w:val="1260"/>
        </w:trPr>
        <w:tc>
          <w:tcPr>
            <w:tcW w:w="4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08C" w:rsidRDefault="00510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2022 году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Первоначальный бюджет (№ 61 от 22.12.2022г)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Утвержденный бюджет (№ 103 от 28.12.2023г)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изменение с первоначальным бюджетом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исполнено в 2023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исполнения в сравнении с уточненным бюджетом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отклонение к уровню 2022 г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08C" w:rsidRDefault="0051008C">
            <w:pPr>
              <w:rPr>
                <w:color w:val="000000"/>
                <w:sz w:val="16"/>
                <w:szCs w:val="16"/>
              </w:rPr>
            </w:pPr>
          </w:p>
        </w:tc>
      </w:tr>
      <w:tr w:rsidR="0051008C" w:rsidTr="00D078F8">
        <w:trPr>
          <w:trHeight w:val="381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51008C" w:rsidRDefault="0051008C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200 286,00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186 509,00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186 554,30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199 098,90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106,7%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-1 187,10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99,4%</w:t>
            </w:r>
          </w:p>
        </w:tc>
      </w:tr>
      <w:tr w:rsidR="0051008C" w:rsidTr="0051008C">
        <w:trPr>
          <w:trHeight w:val="30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187 115,30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179 751,00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175 911,30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-3 839,70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187 611,80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106,7%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100,3%</w:t>
            </w:r>
          </w:p>
        </w:tc>
      </w:tr>
      <w:tr w:rsidR="0051008C" w:rsidTr="0051008C">
        <w:trPr>
          <w:trHeight w:val="4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НАЛОГИ НА ПРИБЫЛЬ, ДОХОДЫ (НДФЛ)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145192,7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138 445,00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136 403,20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-2 041,80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149 167,70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109,4%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102,7%</w:t>
            </w:r>
          </w:p>
        </w:tc>
      </w:tr>
      <w:tr w:rsidR="0051008C" w:rsidTr="0051008C">
        <w:trPr>
          <w:trHeight w:val="612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9256,4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10131,9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109,5%</w:t>
            </w:r>
          </w:p>
        </w:tc>
      </w:tr>
      <w:tr w:rsidR="0051008C" w:rsidTr="0051008C">
        <w:trPr>
          <w:trHeight w:val="269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-2 181,00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90,4%</w:t>
            </w:r>
          </w:p>
        </w:tc>
      </w:tr>
      <w:tr w:rsidR="0051008C" w:rsidTr="0051008C">
        <w:trPr>
          <w:trHeight w:val="30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82,3%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-1 760,20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79,6%</w:t>
            </w:r>
          </w:p>
        </w:tc>
      </w:tr>
      <w:tr w:rsidR="0051008C" w:rsidTr="0051008C">
        <w:trPr>
          <w:trHeight w:val="4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-412,80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70,9%</w:t>
            </w:r>
          </w:p>
        </w:tc>
      </w:tr>
      <w:tr w:rsidR="0051008C" w:rsidTr="00D078F8">
        <w:trPr>
          <w:trHeight w:val="359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11487,1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107,9%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-1 683,60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87,2%</w:t>
            </w:r>
          </w:p>
        </w:tc>
      </w:tr>
      <w:tr w:rsidR="0051008C" w:rsidTr="0051008C">
        <w:trPr>
          <w:trHeight w:val="479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ЗАДОЛЖЕННОСТЬ И ПЕРЕРАСЧЕТ ПО ОТМЕНЕННЫМ НАЛОГАМ, СБОРАМ И ИНЫМ ОБЯЗЯТЕЛЬНЫМ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0,0%</w:t>
            </w:r>
          </w:p>
        </w:tc>
      </w:tr>
      <w:tr w:rsidR="0051008C" w:rsidTr="0051008C">
        <w:trPr>
          <w:trHeight w:val="573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МУНИ-ЦИПАЛЬНОЙ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106,9%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-776,70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81,6%</w:t>
            </w:r>
          </w:p>
        </w:tc>
      </w:tr>
      <w:tr w:rsidR="0051008C" w:rsidTr="0051008C">
        <w:trPr>
          <w:trHeight w:val="241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2 272,30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-238,70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91,9%</w:t>
            </w:r>
          </w:p>
        </w:tc>
      </w:tr>
      <w:tr w:rsidR="0051008C" w:rsidTr="0051008C">
        <w:trPr>
          <w:trHeight w:val="361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ОКАЗАНИЯ ПЛАТНЫХ УСЛУГ (РАБОТ) И 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110,3%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108,1%</w:t>
            </w:r>
          </w:p>
        </w:tc>
      </w:tr>
      <w:tr w:rsidR="0051008C" w:rsidTr="0051008C">
        <w:trPr>
          <w:trHeight w:val="612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-1 264,10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34,7%</w:t>
            </w:r>
          </w:p>
        </w:tc>
      </w:tr>
      <w:tr w:rsidR="0051008C" w:rsidTr="0051008C">
        <w:trPr>
          <w:trHeight w:val="4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118,9%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105,9%</w:t>
            </w:r>
          </w:p>
        </w:tc>
      </w:tr>
      <w:tr w:rsidR="0051008C" w:rsidTr="0051008C">
        <w:trPr>
          <w:trHeight w:val="4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НЕНАЛОГОВЫЙ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156,9%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08C" w:rsidRDefault="0051008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838,2%</w:t>
            </w:r>
          </w:p>
        </w:tc>
      </w:tr>
    </w:tbl>
    <w:p w:rsidR="0074103A" w:rsidRPr="0074103A" w:rsidRDefault="0074103A" w:rsidP="0074103A">
      <w:pPr>
        <w:tabs>
          <w:tab w:val="left" w:pos="87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74103A" w:rsidRPr="0074103A" w:rsidSect="0074103A">
          <w:footerReference w:type="first" r:id="rId10"/>
          <w:pgSz w:w="16838" w:h="11906" w:orient="landscape"/>
          <w:pgMar w:top="709" w:right="1134" w:bottom="426" w:left="1134" w:header="709" w:footer="709" w:gutter="0"/>
          <w:pgNumType w:start="12"/>
          <w:cols w:space="708"/>
          <w:titlePg/>
          <w:docGrid w:linePitch="360"/>
        </w:sectPr>
      </w:pPr>
    </w:p>
    <w:p w:rsidR="0074103A" w:rsidRPr="0074103A" w:rsidRDefault="0074103A" w:rsidP="0074103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03A" w:rsidRPr="0074103A" w:rsidRDefault="0074103A" w:rsidP="0074103A">
      <w:pPr>
        <w:suppressAutoHyphens/>
        <w:autoSpaceDN w:val="0"/>
        <w:spacing w:before="119" w:after="119" w:line="240" w:lineRule="auto"/>
        <w:ind w:hanging="352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4.3</w:t>
      </w:r>
      <w:r w:rsidRPr="0074103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.  Безвозмездные поступления</w:t>
      </w:r>
    </w:p>
    <w:p w:rsidR="0074103A" w:rsidRPr="0074103A" w:rsidRDefault="0074103A" w:rsidP="0074103A">
      <w:pPr>
        <w:autoSpaceDE w:val="0"/>
        <w:autoSpaceDN w:val="0"/>
        <w:adjustRightInd w:val="0"/>
        <w:spacing w:before="119" w:after="119" w:line="240" w:lineRule="auto"/>
        <w:ind w:hanging="35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Безвозмездные поступления от других уровней бюджетов при утверждении бюджета были запланированы в объеме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830233,8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рублей, в течение года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уменьшены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21192,6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 или на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2,6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 и утверждены в окончательной редакции решения о бюджете в объеме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809041,2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Фактически бюджет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202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получил доходы в виде безвозмездных поступлений в сумме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803392,5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 или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99,3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 от утвержденных значений. Удельный вес безвозмездных поступлений в общем объеме поступивших в бюджет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доходов составил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80,1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 против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69,8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 в 202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году. 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По</w:t>
      </w:r>
      <w:r w:rsidRPr="00741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сравнению с 202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годом объем безвозмездных поступлений  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увеличился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340556,4</w:t>
      </w:r>
      <w:r w:rsidRPr="00741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тыс. рублей или на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65,8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%.                                  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Анализ безвозмездных поступлений представлен в таблице №4.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FA366B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 xml:space="preserve">                                  </w:t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 xml:space="preserve">Таблица №4 </w:t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>(тыс. рублей)</w:t>
      </w:r>
    </w:p>
    <w:tbl>
      <w:tblPr>
        <w:tblW w:w="10183" w:type="dxa"/>
        <w:tblInd w:w="96" w:type="dxa"/>
        <w:tblLayout w:type="fixed"/>
        <w:tblLook w:val="04A0"/>
      </w:tblPr>
      <w:tblGrid>
        <w:gridCol w:w="1572"/>
        <w:gridCol w:w="836"/>
        <w:gridCol w:w="1330"/>
        <w:gridCol w:w="1193"/>
        <w:gridCol w:w="1334"/>
        <w:gridCol w:w="977"/>
        <w:gridCol w:w="958"/>
        <w:gridCol w:w="979"/>
        <w:gridCol w:w="1004"/>
      </w:tblGrid>
      <w:tr w:rsidR="0013721F" w:rsidRPr="0013721F" w:rsidTr="0013721F">
        <w:trPr>
          <w:trHeight w:val="300"/>
        </w:trPr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Исполнено </w:t>
            </w:r>
          </w:p>
        </w:tc>
        <w:tc>
          <w:tcPr>
            <w:tcW w:w="6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в %  2023 г к 2022 г</w:t>
            </w:r>
          </w:p>
        </w:tc>
      </w:tr>
      <w:tr w:rsidR="0013721F" w:rsidRPr="0013721F" w:rsidTr="00D078F8">
        <w:trPr>
          <w:trHeight w:val="1260"/>
        </w:trPr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21F" w:rsidRPr="0013721F" w:rsidRDefault="0013721F" w:rsidP="0013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2022 году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Первоначальный бюджет (№ 61 от 22.12.2022г)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Утвержденный бюджет (№ 103 от 28.12.2023г)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изменение с первоначальным бюджетом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исполнено в 2023 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% исполнения в сравнении с уточненным бюджетом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отклонение к уровню 2022 г</w:t>
            </w:r>
          </w:p>
        </w:tc>
        <w:tc>
          <w:tcPr>
            <w:tcW w:w="10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21F" w:rsidRPr="0013721F" w:rsidRDefault="0013721F" w:rsidP="0013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21F" w:rsidRPr="0013721F" w:rsidTr="00D078F8">
        <w:trPr>
          <w:trHeight w:val="435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462 836,10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830 233,80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809 041,20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-21 192,60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803 392,50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99,3%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340 556,40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1,74</w:t>
            </w:r>
          </w:p>
        </w:tc>
      </w:tr>
      <w:tr w:rsidR="0013721F" w:rsidRPr="0013721F" w:rsidTr="00D078F8">
        <w:trPr>
          <w:trHeight w:val="996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бюдже-там бюджетной системы РФ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128162,1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130 444,80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199 625,00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69 180,20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199 625,00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71 462,90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155,8%</w:t>
            </w:r>
          </w:p>
        </w:tc>
      </w:tr>
      <w:tr w:rsidR="0013721F" w:rsidRPr="0013721F" w:rsidTr="00D078F8">
        <w:trPr>
          <w:trHeight w:val="78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171934,6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538495,9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442209,8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-96 286,10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438 071,50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266 136,90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254,8%</w:t>
            </w:r>
          </w:p>
        </w:tc>
      </w:tr>
      <w:tr w:rsidR="0013721F" w:rsidRPr="0013721F" w:rsidTr="00D078F8">
        <w:trPr>
          <w:trHeight w:val="576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бюд-жетам бюджет-ной системы РФ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161098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161293,1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160335,3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-957,80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160 173,80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-924,20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99,4%</w:t>
            </w:r>
          </w:p>
        </w:tc>
      </w:tr>
      <w:tr w:rsidR="0013721F" w:rsidRPr="0013721F" w:rsidTr="00D078F8">
        <w:trPr>
          <w:trHeight w:val="656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941,4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5612,2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5 612,20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5 612,20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4 670,80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596,2%</w:t>
            </w:r>
          </w:p>
        </w:tc>
      </w:tr>
      <w:tr w:rsidR="0013721F" w:rsidRPr="0013721F" w:rsidTr="00D078F8">
        <w:trPr>
          <w:trHeight w:val="504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516,7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-516,70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13721F" w:rsidRPr="0013721F" w:rsidTr="00D078F8">
        <w:trPr>
          <w:trHeight w:val="444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1701,7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1258,9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1 258,90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857,7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-844,00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50,4%</w:t>
            </w:r>
          </w:p>
        </w:tc>
      </w:tr>
      <w:tr w:rsidR="0013721F" w:rsidRPr="0013721F" w:rsidTr="00D078F8">
        <w:trPr>
          <w:trHeight w:val="1056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-1518,4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-947,7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570,70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21F" w:rsidRPr="0013721F" w:rsidRDefault="0013721F" w:rsidP="00137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372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62,4%</w:t>
            </w:r>
          </w:p>
        </w:tc>
      </w:tr>
    </w:tbl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структуре безвозмездных поступлений в отчетном периоде наибольший удельный вес занимают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дотации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бюджетам бюджетной системы РФ –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54,5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 (в 2021 году –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37,2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%).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Дотации бюджетам бюджетной системы РФ поступили в сумме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199625,0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рублей,  что составило 100% к уточненным назначениям (в 202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– 100%).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Субсидии из федерального и областного бюджетов поступили в сумме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438071,5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рублей,  что составило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99,1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уточненным назначениям (в 2022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– 9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7,2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%).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Субвенции из федерального и областного бюджетов поступили в сумме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160173,8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рублей, что составляет 99,9% к уточненным назначениям (в 202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– 99,9%).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Иные межбюджетные трансферты поступили в сумме 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5612,2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рублей, что составляет 100,0% от плановых назначений (в 202</w:t>
      </w:r>
      <w:r w:rsidR="001372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– 100%).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Прочие безвозмездные поступления поступили в сумме </w:t>
      </w:r>
      <w:r w:rsidR="001371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857,7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рублей, что составляет </w:t>
      </w:r>
      <w:r w:rsidR="001371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68,1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 от плановых назначений (в 202</w:t>
      </w:r>
      <w:r w:rsidR="001371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– </w:t>
      </w:r>
      <w:r w:rsidR="001371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1371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%).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 же в 202</w:t>
      </w:r>
      <w:r w:rsidR="001371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осуществлялся возврат остатков  субсидий, субвенций и иных </w:t>
      </w:r>
      <w:r w:rsidR="001371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межбюджетных трансфертов имеющих целевое назначение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прошлых лет в сумме  -</w:t>
      </w:r>
      <w:r w:rsidR="001371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947,7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03A" w:rsidRPr="0074103A" w:rsidRDefault="0074103A" w:rsidP="0074103A">
      <w:pPr>
        <w:keepNext/>
        <w:suppressAutoHyphens/>
        <w:autoSpaceDN w:val="0"/>
        <w:spacing w:before="119" w:after="11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5. Исполнение бюджета по расходам</w:t>
      </w:r>
    </w:p>
    <w:p w:rsidR="0074103A" w:rsidRPr="0074103A" w:rsidRDefault="0074103A" w:rsidP="0074103A">
      <w:pPr>
        <w:keepNext/>
        <w:suppressAutoHyphens/>
        <w:autoSpaceDN w:val="0"/>
        <w:spacing w:after="119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5.1. Общая характеристика исполнения расходов бюджета</w:t>
      </w:r>
    </w:p>
    <w:p w:rsidR="0074103A" w:rsidRPr="0074103A" w:rsidRDefault="005A03C3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4103A">
        <w:rPr>
          <w:rFonts w:ascii="Times New Roman" w:eastAsia="Times New Roman" w:hAnsi="Times New Roman" w:cs="Times New Roman"/>
          <w:sz w:val="28"/>
          <w:szCs w:val="28"/>
        </w:rPr>
        <w:t xml:space="preserve">Решением Представительного Собрания Чагодощенского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4103A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</w:rPr>
        <w:t>.12.2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</w:rPr>
        <w:t xml:space="preserve"> г №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74103A">
        <w:rPr>
          <w:rFonts w:ascii="Times New Roman" w:eastAsia="Times New Roman" w:hAnsi="Times New Roman" w:cs="Times New Roman"/>
          <w:sz w:val="28"/>
          <w:szCs w:val="28"/>
        </w:rPr>
        <w:t xml:space="preserve"> «О бюджете Чагодощенского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4103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103A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103A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были утверждены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1016742,8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Изменения в расходную часть бюджета вносились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 С учётом всех внесённых в бюджет изменений утвержденные решением о бюджете плановые расходы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1011135,9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</w:t>
      </w:r>
      <w:r w:rsidR="0091193C">
        <w:rPr>
          <w:rFonts w:ascii="Times New Roman" w:eastAsia="Times New Roman" w:hAnsi="Times New Roman" w:cs="Times New Roman"/>
          <w:sz w:val="28"/>
          <w:szCs w:val="28"/>
          <w:lang w:eastAsia="ru-RU"/>
        </w:rPr>
        <w:t>5607,0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3A" w:rsidRPr="0074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 или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0,5</w:t>
      </w:r>
      <w:r w:rsidR="0074103A" w:rsidRPr="0074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планируемых расходов. </w:t>
      </w:r>
    </w:p>
    <w:p w:rsidR="0074103A" w:rsidRPr="0074103A" w:rsidRDefault="0074103A" w:rsidP="0074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202</w:t>
      </w:r>
      <w:r w:rsidR="005A0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бюджет изменения не противоречат бюджетному законодательству. </w:t>
      </w:r>
    </w:p>
    <w:p w:rsid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исполнены в сумме </w:t>
      </w:r>
      <w:r w:rsidR="005A03C3">
        <w:rPr>
          <w:rFonts w:ascii="Times New Roman" w:eastAsia="Times New Roman" w:hAnsi="Times New Roman" w:cs="Times New Roman"/>
          <w:sz w:val="28"/>
          <w:szCs w:val="28"/>
          <w:lang w:eastAsia="ru-RU"/>
        </w:rPr>
        <w:t>991412,7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составило 9</w:t>
      </w:r>
      <w:r w:rsidR="00AC4B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,0% от утвержденного плана. Удельный вес расходов бюджета района по разделам функциональной классификации в общей сумме расходов бюджета 2022 года составил:</w:t>
      </w:r>
    </w:p>
    <w:p w:rsidR="0091193C" w:rsidRPr="0074103A" w:rsidRDefault="0091193C" w:rsidP="009119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-жилищно-коммунальное хозяйство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44,2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-расходы на образование – </w:t>
      </w:r>
      <w:r w:rsidR="0091193C">
        <w:rPr>
          <w:rFonts w:ascii="Times New Roman" w:eastAsia="Times New Roman" w:hAnsi="Times New Roman" w:cs="Times New Roman"/>
          <w:sz w:val="28"/>
          <w:szCs w:val="28"/>
          <w:lang w:eastAsia="ru-RU"/>
        </w:rPr>
        <w:t>32,2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-общегосударственные вопросы –</w:t>
      </w:r>
      <w:r w:rsidR="0091193C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и кинематография – 5,6 %;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национальная экономика – </w:t>
      </w:r>
      <w:r w:rsidR="0091193C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</w:t>
      </w:r>
      <w:r w:rsidR="009119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социальную политику – 1,7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культура и спорт -1,</w:t>
      </w:r>
      <w:r w:rsidR="009119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остальные разделы  приходится- 0,</w:t>
      </w:r>
      <w:r w:rsidR="009119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4103A" w:rsidRPr="0074103A" w:rsidRDefault="0074103A" w:rsidP="007410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</w:rPr>
        <w:lastRenderedPageBreak/>
        <w:t>Относительно 202</w:t>
      </w:r>
      <w:r w:rsidR="0091193C">
        <w:rPr>
          <w:rFonts w:ascii="Times New Roman" w:eastAsia="Calibri" w:hAnsi="Times New Roman" w:cs="Times New Roman"/>
          <w:sz w:val="28"/>
          <w:szCs w:val="28"/>
        </w:rPr>
        <w:t>2</w:t>
      </w: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91193C">
        <w:rPr>
          <w:rFonts w:ascii="Times New Roman" w:eastAsia="Calibri" w:hAnsi="Times New Roman" w:cs="Times New Roman"/>
          <w:sz w:val="28"/>
          <w:szCs w:val="28"/>
        </w:rPr>
        <w:t>673364,1</w:t>
      </w: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1 тыс. руб.) сумма расходов бюджета Чагодощенского муниципального </w:t>
      </w:r>
      <w:r w:rsidR="0091193C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  уменьшилась  на  </w:t>
      </w:r>
      <w:r w:rsidR="0091193C">
        <w:rPr>
          <w:rFonts w:ascii="Times New Roman" w:eastAsia="Calibri" w:hAnsi="Times New Roman" w:cs="Times New Roman"/>
          <w:sz w:val="28"/>
          <w:szCs w:val="28"/>
        </w:rPr>
        <w:t>318048,6</w:t>
      </w: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  тыс. рублей или на </w:t>
      </w:r>
      <w:r w:rsidR="0091193C">
        <w:rPr>
          <w:rFonts w:ascii="Times New Roman" w:eastAsia="Calibri" w:hAnsi="Times New Roman" w:cs="Times New Roman"/>
          <w:sz w:val="28"/>
          <w:szCs w:val="28"/>
        </w:rPr>
        <w:t>47,2</w:t>
      </w: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 %.  (Таблица 6).</w:t>
      </w:r>
    </w:p>
    <w:p w:rsidR="00C15D4A" w:rsidRDefault="00C15D4A" w:rsidP="00C15D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975" w:rsidRDefault="00885975" w:rsidP="0074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sectPr w:rsidR="00885975" w:rsidSect="00885975">
          <w:footerReference w:type="default" r:id="rId11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tbl>
      <w:tblPr>
        <w:tblW w:w="14184" w:type="dxa"/>
        <w:tblInd w:w="96" w:type="dxa"/>
        <w:tblLayout w:type="fixed"/>
        <w:tblLook w:val="04A0"/>
      </w:tblPr>
      <w:tblGrid>
        <w:gridCol w:w="1868"/>
        <w:gridCol w:w="1009"/>
        <w:gridCol w:w="1493"/>
        <w:gridCol w:w="1328"/>
        <w:gridCol w:w="1478"/>
        <w:gridCol w:w="977"/>
        <w:gridCol w:w="970"/>
        <w:gridCol w:w="954"/>
        <w:gridCol w:w="899"/>
        <w:gridCol w:w="1076"/>
        <w:gridCol w:w="1056"/>
        <w:gridCol w:w="1076"/>
      </w:tblGrid>
      <w:tr w:rsidR="00E21EDE" w:rsidRPr="00E21EDE" w:rsidTr="00FA366B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2022 году</w:t>
            </w:r>
          </w:p>
        </w:tc>
        <w:tc>
          <w:tcPr>
            <w:tcW w:w="102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 2023г к 2022 г</w:t>
            </w:r>
          </w:p>
        </w:tc>
      </w:tr>
      <w:tr w:rsidR="00E21EDE" w:rsidRPr="00E21EDE" w:rsidTr="00FA366B">
        <w:trPr>
          <w:trHeight w:val="1260"/>
        </w:trPr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Первоначальный бюджет (№ 61 от 22.12.2022г)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Утвержденный бюджет (№ 103т 28.12.2023г)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с первоначальным бюджетом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2023г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 к объему расходов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освоено средств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 в сравнении с бюджетом (№ 61 от 22.12.2022г)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 в сравнении с бюджетом (№ 103 от 28.12.2023г)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к уровню 2022г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21EDE" w:rsidRPr="00E21EDE" w:rsidTr="00FA366B">
        <w:trPr>
          <w:trHeight w:val="444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108821,7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102855,4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115745,8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12890,4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109365,8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106,3%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544,1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</w:tr>
      <w:tr w:rsidR="00E21EDE" w:rsidRPr="00E21EDE" w:rsidTr="00FA366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773,2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-108,2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-14,0%</w:t>
            </w:r>
          </w:p>
        </w:tc>
      </w:tr>
      <w:tr w:rsidR="00E21EDE" w:rsidRPr="00E21EDE" w:rsidTr="00FA366B">
        <w:trPr>
          <w:trHeight w:val="648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4215,5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4016,4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6229,4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5286,3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131,6%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84,9%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1070,8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</w:tr>
      <w:tr w:rsidR="00E21EDE" w:rsidRPr="00E21EDE" w:rsidTr="00FA366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32429,5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25430,9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34930,8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9499,9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33973,4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3,4%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957,4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133,6%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97,3%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1543,9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4,8%</w:t>
            </w:r>
          </w:p>
        </w:tc>
      </w:tr>
      <w:tr w:rsidR="00E21EDE" w:rsidRPr="00E21EDE" w:rsidTr="00FA366B">
        <w:trPr>
          <w:trHeight w:val="42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178234,5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462122,8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444575,9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-17546,9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437959,6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44,2%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6616,3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98,5%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259725,1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145,7%</w:t>
            </w:r>
          </w:p>
        </w:tc>
      </w:tr>
      <w:tr w:rsidR="00E21EDE" w:rsidRPr="00E21EDE" w:rsidTr="00FA366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191,4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21921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271,5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-21649,5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-141,4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-73,9%</w:t>
            </w:r>
          </w:p>
        </w:tc>
      </w:tr>
      <w:tr w:rsidR="00E21EDE" w:rsidRPr="00E21EDE" w:rsidTr="00FA366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270355,1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327364,4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319945,6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-7418,8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319174,1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32,2%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97,5%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48819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18,1%</w:t>
            </w:r>
          </w:p>
        </w:tc>
      </w:tr>
      <w:tr w:rsidR="00E21EDE" w:rsidRPr="00E21EDE" w:rsidTr="00FA366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51280,2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53192,1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55919,1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55741,1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104,8%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4460,9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8,7%</w:t>
            </w:r>
          </w:p>
        </w:tc>
      </w:tr>
      <w:tr w:rsidR="00E21EDE" w:rsidRPr="00E21EDE" w:rsidTr="00FA366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Здравоохранение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1257,5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1210,6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592,4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1640,8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162,2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135,5%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30,5%</w:t>
            </w:r>
          </w:p>
        </w:tc>
      </w:tr>
      <w:tr w:rsidR="00E21EDE" w:rsidRPr="00E21EDE" w:rsidTr="00FA366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15476,2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9747,2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20613,5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10866,3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17137,9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1,7%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3475,6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175,8%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83,1%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1661,7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10,7%</w:t>
            </w:r>
          </w:p>
        </w:tc>
      </w:tr>
      <w:tr w:rsidR="00E21EDE" w:rsidRPr="00E21EDE" w:rsidTr="00FA366B">
        <w:trPr>
          <w:trHeight w:val="574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10329,3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8217,1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10436,3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2219,2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10418,7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1,1%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126,8%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21E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0,9%</w:t>
            </w:r>
          </w:p>
        </w:tc>
      </w:tr>
      <w:tr w:rsidR="00E21EDE" w:rsidRPr="00FA366B" w:rsidTr="00FA366B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E21EDE" w:rsidRPr="00E21EDE" w:rsidRDefault="00E21EDE" w:rsidP="00E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E21EDE" w:rsidRPr="00FA366B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673 364,10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E21EDE" w:rsidRPr="00FA366B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1 016 742,90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E21EDE" w:rsidRPr="00FA366B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1 011 135,90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E21EDE" w:rsidRPr="00FA366B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-5 607,00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E21EDE" w:rsidRPr="00FA366B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991 412,70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E21EDE" w:rsidRPr="00FA366B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E21EDE" w:rsidRPr="00FA366B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19 723,20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E21EDE" w:rsidRPr="00FA366B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97,5%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E21EDE" w:rsidRPr="00FA366B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98,0%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E21EDE" w:rsidRPr="00FA366B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318048,6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E21EDE" w:rsidRPr="00FA366B" w:rsidRDefault="00E21EDE" w:rsidP="00E21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47,2%</w:t>
            </w:r>
          </w:p>
        </w:tc>
      </w:tr>
    </w:tbl>
    <w:p w:rsidR="00885975" w:rsidRDefault="00885975" w:rsidP="0074103A">
      <w:pPr>
        <w:tabs>
          <w:tab w:val="left" w:pos="7200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sectPr w:rsidR="00885975" w:rsidSect="00885975">
          <w:pgSz w:w="16838" w:h="11906" w:orient="landscape"/>
          <w:pgMar w:top="993" w:right="851" w:bottom="850" w:left="1134" w:header="708" w:footer="708" w:gutter="0"/>
          <w:cols w:space="708"/>
          <w:docGrid w:linePitch="360"/>
        </w:sectPr>
      </w:pPr>
    </w:p>
    <w:p w:rsidR="0074103A" w:rsidRPr="00FA366B" w:rsidRDefault="0074103A" w:rsidP="0074103A">
      <w:pPr>
        <w:tabs>
          <w:tab w:val="left" w:pos="7200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FA366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lastRenderedPageBreak/>
        <w:t>5.2. Анализ  расходов  бюджета</w:t>
      </w:r>
      <w:r w:rsidR="00AC4B3D" w:rsidRPr="00FA366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округа</w:t>
      </w:r>
      <w:r w:rsidRPr="00FA366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по разделам и подразделам классификации расходов и по ведомственной структуре расходов бюджета</w:t>
      </w:r>
      <w:r w:rsidR="00AC4B3D" w:rsidRPr="00FA366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округа</w:t>
      </w:r>
      <w:r w:rsidRPr="00FA366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</w:p>
    <w:p w:rsidR="0074103A" w:rsidRPr="00FA366B" w:rsidRDefault="0074103A" w:rsidP="007410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103A" w:rsidRPr="00FA366B" w:rsidRDefault="0074103A" w:rsidP="007410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36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0100 "Общегосударственные вопросы"</w:t>
      </w:r>
    </w:p>
    <w:p w:rsidR="0074103A" w:rsidRPr="00FA366B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Общегосударственные расходы составляют 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11,0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структуре расходов бюджета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(против </w:t>
      </w:r>
      <w:r w:rsidR="008739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16,2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202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году). В целом по данному разделу в 202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израсходовано средств бюджета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544,1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0,5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больше, чем в 202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году. В первоначальном варианте решения о бюджете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 202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 бюджетные ассигнования утверждены в объеме 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102855,4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 В течение года ассигнования увеличены на 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12890,4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12,5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и составили 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115745,8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</w:t>
      </w:r>
    </w:p>
    <w:p w:rsidR="0074103A" w:rsidRPr="00FA366B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FA366B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="0006551D" w:rsidRPr="00FA366B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исполнены в объеме </w:t>
      </w:r>
      <w:r w:rsid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109365,8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3A39E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106,3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первоначально утвержденному бюджету и на  </w:t>
      </w:r>
      <w:r w:rsidR="003A39E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94,5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уточненному  бюджету. Не освоено средств на сумму </w:t>
      </w:r>
      <w:r w:rsidR="003A39E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6380,0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тыс. рублей.</w:t>
      </w: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A366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данному разделу освоены расходы: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подраздел 0102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содержание главы муниципального </w:t>
      </w:r>
      <w:r w:rsidR="003A39E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составили </w:t>
      </w:r>
      <w:r w:rsidR="003A39E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2334,3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рублей-9</w:t>
      </w:r>
      <w:r w:rsidR="003A39E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от утвержденного плана;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0104 на функционирование местных администраций</w:t>
      </w:r>
      <w:r w:rsidR="003A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</w:t>
      </w:r>
      <w:r w:rsidR="007178D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="003A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«Совершенствование муниципального управления в Чагодощенском муниципальном округе на 2023-2025годы» и «Развитие кадрового потенциала Чагодощенского муниципального округа на 2023-2025 годы»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A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сумме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9E2">
        <w:rPr>
          <w:rFonts w:ascii="Times New Roman" w:eastAsia="Times New Roman" w:hAnsi="Times New Roman" w:cs="Times New Roman"/>
          <w:sz w:val="28"/>
          <w:szCs w:val="28"/>
          <w:lang w:eastAsia="ru-RU"/>
        </w:rPr>
        <w:t>56953,3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9</w:t>
      </w:r>
      <w:r w:rsidR="003A39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39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от утвержденного плана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подраздел 0105 на осуществление полномочий по  составлению (изменению) списков кандидатов в присяжные заседатели федеральных судов общей юрисдикции в РФ </w:t>
      </w:r>
      <w:r w:rsidR="007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«Совершенствование муниципального управления в Чагодощенском муниципальном округе на 2023-2025годы»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178DF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100,0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от утвержденного плана;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0106 на содержание финансового органа</w:t>
      </w:r>
      <w:r w:rsidR="007178DF" w:rsidRPr="007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«Управление муниципальными  финансами  Чагодощенского муниципального округа на 2023-2029годы» а также на обеспечение деятельности контрольно-счетной комиссии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 </w:t>
      </w:r>
      <w:r w:rsidR="007178DF">
        <w:rPr>
          <w:rFonts w:ascii="Times New Roman" w:eastAsia="Times New Roman" w:hAnsi="Times New Roman" w:cs="Times New Roman"/>
          <w:sz w:val="28"/>
          <w:szCs w:val="28"/>
          <w:lang w:eastAsia="ru-RU"/>
        </w:rPr>
        <w:t>12059,9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 -9</w:t>
      </w:r>
      <w:r w:rsidR="007178DF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от утвержденного плана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-подраздел 0111 резервные фонды исполнение 0,0 тыс.рублей.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-подраздел 0113 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выполнение других общегосударственных вопросов  в сумме </w:t>
      </w:r>
      <w:r w:rsidR="007127B5">
        <w:rPr>
          <w:rFonts w:ascii="Times New Roman" w:eastAsia="Times New Roman" w:hAnsi="Times New Roman" w:cs="Times New Roman"/>
          <w:sz w:val="28"/>
          <w:szCs w:val="28"/>
          <w:lang w:eastAsia="ar-SA"/>
        </w:rPr>
        <w:t>38017,8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 или  9</w:t>
      </w:r>
      <w:r w:rsidR="007127B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127B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от утвержденного плана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. Таблица №</w:t>
      </w:r>
      <w:r w:rsidR="007127B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74103A" w:rsidRPr="0074103A" w:rsidRDefault="0074103A" w:rsidP="00885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lastRenderedPageBreak/>
        <w:t xml:space="preserve">Таблица № </w:t>
      </w:r>
      <w:r w:rsidR="00FA366B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6</w:t>
      </w:r>
    </w:p>
    <w:p w:rsid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(тыс.рублей)</w:t>
      </w:r>
    </w:p>
    <w:p w:rsidR="00FA366B" w:rsidRPr="0074103A" w:rsidRDefault="00FA366B" w:rsidP="007410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tbl>
      <w:tblPr>
        <w:tblW w:w="10183" w:type="dxa"/>
        <w:tblInd w:w="96" w:type="dxa"/>
        <w:tblLayout w:type="fixed"/>
        <w:tblLook w:val="04A0"/>
      </w:tblPr>
      <w:tblGrid>
        <w:gridCol w:w="855"/>
        <w:gridCol w:w="1856"/>
        <w:gridCol w:w="1119"/>
        <w:gridCol w:w="856"/>
        <w:gridCol w:w="926"/>
        <w:gridCol w:w="746"/>
        <w:gridCol w:w="1242"/>
        <w:gridCol w:w="1132"/>
        <w:gridCol w:w="778"/>
        <w:gridCol w:w="673"/>
      </w:tblGrid>
      <w:tr w:rsidR="00FA366B" w:rsidRPr="00FA366B" w:rsidTr="00FA366B">
        <w:trPr>
          <w:trHeight w:val="264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6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8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FA366B" w:rsidRPr="00FA366B" w:rsidTr="00FA366B">
        <w:trPr>
          <w:trHeight w:val="852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61 от 22.12.2022г.)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FA36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№103 от 28.12.2023г)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Испол-</w:t>
            </w:r>
            <w:r w:rsidRPr="00FA36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нено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</w:tr>
      <w:tr w:rsidR="00FA366B" w:rsidRPr="00FA366B" w:rsidTr="00FA366B">
        <w:trPr>
          <w:trHeight w:val="552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109534,2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108821,7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99,3%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102855,4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115745,7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94,5%</w:t>
            </w:r>
          </w:p>
        </w:tc>
      </w:tr>
      <w:tr w:rsidR="00FA366B" w:rsidRPr="00FA366B" w:rsidTr="00FA366B">
        <w:trPr>
          <w:trHeight w:val="492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66B" w:rsidRPr="00FA366B" w:rsidRDefault="00FA366B" w:rsidP="00D078F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</w:t>
            </w:r>
            <w:r w:rsidR="00D07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ионирование</w:t>
            </w: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высшего должностного лица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4638,5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1983,4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2510,2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2334,3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93,0%</w:t>
            </w:r>
          </w:p>
        </w:tc>
      </w:tr>
      <w:tr w:rsidR="00FA366B" w:rsidRPr="00FA366B" w:rsidTr="00FA366B">
        <w:trPr>
          <w:trHeight w:val="276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66B" w:rsidRPr="00FA366B" w:rsidRDefault="00FA366B" w:rsidP="00D078F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</w:t>
            </w:r>
            <w:r w:rsidR="00D07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ионирование</w:t>
            </w: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 законод. органов власти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4313,4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99,65%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66B" w:rsidRPr="00FA366B" w:rsidTr="00FA366B">
        <w:trPr>
          <w:trHeight w:val="492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правит. РФ, высших исполн. Власти местных администраций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46856,1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46476,9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99,19%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57630,1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62301,8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56953,3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91,4%</w:t>
            </w:r>
          </w:p>
        </w:tc>
      </w:tr>
      <w:tr w:rsidR="00FA366B" w:rsidRPr="00FA366B" w:rsidTr="00FA366B">
        <w:trPr>
          <w:trHeight w:val="312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FA366B" w:rsidRPr="00FA366B" w:rsidTr="00FA366B">
        <w:trPr>
          <w:trHeight w:val="648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66B" w:rsidRPr="00FA366B" w:rsidRDefault="00FA366B" w:rsidP="00D078F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</w:t>
            </w:r>
            <w:r w:rsidR="00D07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ельности</w:t>
            </w: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финанс., налоговых и тамож органов и органов фин контроля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10373,9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99,68%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10019,9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12142,5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12059,9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99,3%</w:t>
            </w:r>
          </w:p>
        </w:tc>
      </w:tr>
      <w:tr w:rsidR="00FA366B" w:rsidRPr="00FA366B" w:rsidTr="00FA366B">
        <w:trPr>
          <w:trHeight w:val="444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66B" w:rsidRPr="00FA366B" w:rsidTr="00FA366B">
        <w:trPr>
          <w:trHeight w:val="372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FA366B" w:rsidRPr="00FA366B" w:rsidTr="00FA366B">
        <w:trPr>
          <w:trHeight w:val="432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41183,5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40980,8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99,51%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33181,5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38750,7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38017,8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66B" w:rsidRPr="00FA366B" w:rsidRDefault="00FA366B" w:rsidP="00FA3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A36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98,1%</w:t>
            </w:r>
          </w:p>
        </w:tc>
      </w:tr>
    </w:tbl>
    <w:p w:rsidR="0074103A" w:rsidRDefault="0074103A" w:rsidP="00A3350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A33502" w:rsidRPr="0074103A" w:rsidRDefault="00A33502" w:rsidP="00A33502">
      <w:pPr>
        <w:tabs>
          <w:tab w:val="left" w:pos="364"/>
        </w:tabs>
        <w:autoSpaceDE w:val="0"/>
        <w:autoSpaceDN w:val="0"/>
        <w:adjustRightInd w:val="0"/>
        <w:spacing w:before="119" w:after="119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00 "Национальная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оборона</w:t>
      </w: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</w:p>
    <w:p w:rsidR="00A33502" w:rsidRPr="0074103A" w:rsidRDefault="00A33502" w:rsidP="00A3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первоначальном варианте решения о 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бюджете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202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 бюджетные ассигнования утверждены в объеме 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665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 В течение года ассигнования 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стались на прежнем уровне.</w:t>
      </w:r>
    </w:p>
    <w:p w:rsidR="00A33502" w:rsidRPr="0074103A" w:rsidRDefault="00A33502" w:rsidP="00A3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расходы составляют 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0,1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структуре расходов бюджета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(в  2022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0,</w:t>
      </w:r>
      <w:r w:rsidR="008739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%). В целом по данному разделу в 202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израсходовано средств бюджета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665,0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14,0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меньш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е, чем в 202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рамках муниципальной программы «Совершенствование муниципального управления в Чагодощенском муниципальном округе на 2023-2025годы»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</w:p>
    <w:p w:rsidR="00A33502" w:rsidRPr="0074103A" w:rsidRDefault="00A33502" w:rsidP="00A33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="007127B5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исполнены в объеме 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665,0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100,0% к первоначально утвержденному бюджету и уточненному  бюджету.</w:t>
      </w:r>
      <w:r w:rsidR="007127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Таблица №7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127B5" w:rsidRPr="0074103A" w:rsidRDefault="007127B5" w:rsidP="007127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Таблица №</w:t>
      </w:r>
      <w:r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7</w:t>
      </w:r>
    </w:p>
    <w:p w:rsidR="007127B5" w:rsidRDefault="007127B5" w:rsidP="007127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(тыс.рублей)</w:t>
      </w:r>
    </w:p>
    <w:p w:rsidR="00A33502" w:rsidRDefault="00A33502" w:rsidP="00A3350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tbl>
      <w:tblPr>
        <w:tblW w:w="9400" w:type="dxa"/>
        <w:tblInd w:w="96" w:type="dxa"/>
        <w:tblLook w:val="04A0"/>
      </w:tblPr>
      <w:tblGrid>
        <w:gridCol w:w="868"/>
        <w:gridCol w:w="1451"/>
        <w:gridCol w:w="1137"/>
        <w:gridCol w:w="869"/>
        <w:gridCol w:w="940"/>
        <w:gridCol w:w="684"/>
        <w:gridCol w:w="1262"/>
        <w:gridCol w:w="1151"/>
        <w:gridCol w:w="881"/>
        <w:gridCol w:w="940"/>
      </w:tblGrid>
      <w:tr w:rsidR="007127B5" w:rsidRPr="007127B5" w:rsidTr="007127B5">
        <w:trPr>
          <w:trHeight w:val="30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7127B5" w:rsidRPr="007127B5" w:rsidTr="007127B5">
        <w:trPr>
          <w:trHeight w:val="126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61 от 22.12.2022г.)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71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№103 от 28.12.2023г)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r w:rsidRPr="0071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127B5" w:rsidRPr="007127B5" w:rsidTr="007127B5">
        <w:trPr>
          <w:trHeight w:val="300"/>
        </w:trPr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97,4%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7127B5" w:rsidRPr="007127B5" w:rsidTr="007127B5">
        <w:trPr>
          <w:trHeight w:val="444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Мобилизационная и вневойсковая </w:t>
            </w: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7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7127B5" w:rsidRPr="007127B5" w:rsidTr="007127B5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2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2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2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2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B5" w:rsidRPr="007127B5" w:rsidRDefault="007127B5" w:rsidP="00712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2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A33502" w:rsidRDefault="00A33502" w:rsidP="00A3350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A33502" w:rsidRPr="0074103A" w:rsidRDefault="00A33502" w:rsidP="00A3350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74103A" w:rsidRPr="0074103A" w:rsidRDefault="0074103A" w:rsidP="0074103A">
      <w:pPr>
        <w:tabs>
          <w:tab w:val="left" w:pos="364"/>
        </w:tabs>
        <w:autoSpaceDE w:val="0"/>
        <w:autoSpaceDN w:val="0"/>
        <w:adjustRightInd w:val="0"/>
        <w:spacing w:before="119" w:after="119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0300 "Национальная безопасность и правоохранительная деятельность"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бюджете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 202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 бюджетные ассигнования утверждены в объеме 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4016,4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 В течение года ассигнования уменьшены на 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2212,9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55,1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и составили 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6229,3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тыс. 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расходы составляют 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0,5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структуре расходов бюджета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(в  202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</w:t>
      </w:r>
      <w:r w:rsidR="008739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0,6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%). В целом по данному разделу в 202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израсходовано средств бюджета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1070,8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25,4% больше, чем в 2022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="002E3BE9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исполнены в объеме 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5286,3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100,0% к первоначально утвержденному бюджету и на  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84,9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уточненному  бюджету. Не освоено средств на сумму 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943,1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тыс. рублей.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По данному разделу освоены 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расходы:</w:t>
      </w:r>
    </w:p>
    <w:p w:rsidR="0074103A" w:rsidRPr="0074103A" w:rsidRDefault="0074103A" w:rsidP="009E5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подраздел 0309 на проведение мероприятий по предупреждению и ликвидации последствий чрезвычайных ситуаций </w:t>
      </w:r>
      <w:r w:rsidR="002E3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техногенного характера и проведение мероприятий по обеспечению безопасности людей на водных объектах в рамках муниципальн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E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E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B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«Обеспечение профилактики правонарушений, безопасности населения Чагодощенского муниципального округа на 2023-2025годы»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 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>97,6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 при плане 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>233,9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 или 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>41,7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утвержденного плана;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подраздел 0310 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первичных мер пожарной безопасности на территории округа в рамках муниципальной программы </w:t>
      </w:r>
      <w:r w:rsidR="009E5A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«Обеспечение профилактики правонарушений, безопасности населения Чагодощенского муниципального округа на 2023-2025годы»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 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>2280,1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 при плане 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>3034,1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 или 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>75,1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утвержденного плана;</w:t>
      </w:r>
    </w:p>
    <w:p w:rsid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 0314 на реализацию мероприятий по профилактике правонарушений в</w:t>
      </w:r>
      <w:r w:rsidR="009E5A90" w:rsidRP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муниципальной программы </w:t>
      </w:r>
      <w:r w:rsidR="009E5A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«Развитие Единой дежурно-диспетчерской службы Чагодощенского муниципального округа на 2023-2025годы»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  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>2908,6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тыс. рублей при плане 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>2961,3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 или 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ru-RU"/>
        </w:rPr>
        <w:t>98,2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утвержденного плана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E5A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Таблица №8</w:t>
      </w:r>
    </w:p>
    <w:p w:rsidR="009E5A90" w:rsidRPr="0074103A" w:rsidRDefault="009E5A90" w:rsidP="009E5A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Таблица №</w:t>
      </w:r>
      <w:r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8</w:t>
      </w:r>
    </w:p>
    <w:p w:rsidR="009E5A90" w:rsidRDefault="009E5A90" w:rsidP="009E5A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(тыс.рублей)</w:t>
      </w:r>
    </w:p>
    <w:tbl>
      <w:tblPr>
        <w:tblW w:w="9573" w:type="dxa"/>
        <w:tblInd w:w="96" w:type="dxa"/>
        <w:tblLook w:val="04A0"/>
      </w:tblPr>
      <w:tblGrid>
        <w:gridCol w:w="839"/>
        <w:gridCol w:w="1691"/>
        <w:gridCol w:w="1095"/>
        <w:gridCol w:w="839"/>
        <w:gridCol w:w="907"/>
        <w:gridCol w:w="732"/>
        <w:gridCol w:w="1215"/>
        <w:gridCol w:w="1108"/>
        <w:gridCol w:w="850"/>
        <w:gridCol w:w="907"/>
      </w:tblGrid>
      <w:tr w:rsidR="009E5A90" w:rsidRPr="009E5A90" w:rsidTr="009E5A90">
        <w:trPr>
          <w:trHeight w:val="30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9E5A90" w:rsidRPr="009E5A90" w:rsidTr="009E5A90">
        <w:trPr>
          <w:trHeight w:val="126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A90" w:rsidRPr="009E5A90" w:rsidRDefault="009E5A90" w:rsidP="009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61 от 22.12.2022г.)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9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№103 от 28.12.2023г)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r w:rsidRPr="009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9E5A90" w:rsidRPr="009E5A90" w:rsidTr="009E5A90">
        <w:trPr>
          <w:trHeight w:val="720"/>
        </w:trPr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4337,6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4215,5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4016,4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6229,3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5286,3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84,9%</w:t>
            </w:r>
          </w:p>
        </w:tc>
      </w:tr>
      <w:tr w:rsidR="009E5A90" w:rsidRPr="009E5A90" w:rsidTr="009E5A90">
        <w:trPr>
          <w:trHeight w:val="30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Гражданская </w:t>
            </w: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493,9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233,9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41,7%</w:t>
            </w:r>
          </w:p>
        </w:tc>
      </w:tr>
      <w:tr w:rsidR="009E5A90" w:rsidRPr="009E5A90" w:rsidTr="009E5A90">
        <w:trPr>
          <w:trHeight w:val="912"/>
        </w:trPr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0310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1459,4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3034,1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75,1%</w:t>
            </w:r>
          </w:p>
        </w:tc>
      </w:tr>
      <w:tr w:rsidR="009E5A90" w:rsidRPr="009E5A90" w:rsidTr="009E5A90">
        <w:trPr>
          <w:trHeight w:val="78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2733,2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97,58%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63,3%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2662,5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2961,3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2908,6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A90" w:rsidRPr="009E5A90" w:rsidRDefault="009E5A90" w:rsidP="009E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5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98,2%</w:t>
            </w:r>
          </w:p>
        </w:tc>
      </w:tr>
    </w:tbl>
    <w:p w:rsidR="009E5A90" w:rsidRPr="0074103A" w:rsidRDefault="009E5A90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Pr="0074103A" w:rsidRDefault="0074103A" w:rsidP="007410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0400 "Национальная экономика"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бюджете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 202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 бюджетные ассигнования утверждены в объеме 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25430,9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 В течение года ассигнования увеличены на 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9499,9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37,4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и составили 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34930,8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данному разделу расходы составляют 3,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структуре расходов бюджета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(против </w:t>
      </w:r>
      <w:r w:rsidR="008739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4,8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202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году). В целом по данному разделу в 202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израсходовано средств бюджета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1543,9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4,8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больше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чем в 202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="00B63D72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исполнены в объеме </w:t>
      </w:r>
      <w:r w:rsidR="00B63D7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33973,4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F71E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133,6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первоначально утвержденному бюджету и на  </w:t>
      </w:r>
      <w:r w:rsidR="00F71E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97,3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уточненному  бюджету. Не освоено средств на сумму </w:t>
      </w:r>
      <w:r w:rsidR="00F71E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957,4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тыс. рублей.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отражены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расходы: </w:t>
      </w:r>
    </w:p>
    <w:p w:rsidR="003B5F50" w:rsidRPr="0074103A" w:rsidRDefault="0074103A" w:rsidP="003B5F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подраздел 0408 отражены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организацию транспортного обслуживания населения на муниципальных маршрутах регулярных перевозок по регулируемым тарифам</w:t>
      </w:r>
      <w:r w:rsidR="00F71E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</w:t>
      </w:r>
      <w:r w:rsidR="00F71E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«Развитие сети автомобильных дорог местного значения на территории  Чагодощенского муниципального округа на 2023-2025годы»</w:t>
      </w:r>
      <w:r w:rsidR="003B5F5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3B5F50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="003B5F50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ru-RU"/>
        </w:rPr>
        <w:t>5759,6</w:t>
      </w:r>
      <w:r w:rsidR="003B5F50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 т.е. 100,0% от утвержденного плана;</w:t>
      </w:r>
    </w:p>
    <w:p w:rsidR="0074103A" w:rsidRPr="0074103A" w:rsidRDefault="003B5F50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040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отражены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F71E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за счет средст Дорожного фонда на реализацию муниципальной программы «Развитие сети автомобильных дорог местного значения на территории  Чагодощенского муниципального округа на 2023-2025годы», </w:t>
      </w:r>
      <w:r w:rsidR="00F71E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 так же на содержание межпоселенческих дорог, на содержание дорог общего пользования, на приведение  в нормативное состояние автомобильных дорог общего пользования, на софинансирование мероприятий осуществляемых за счет средств областного бюджета, на обеспечение подъездов к земельным участкам предоставляемым отдельным категориям граждан,  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4103A"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0409 отражены 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средств Дорожного фонда  на реализацию муниципальной программы «Развитие сети автомобильных дорог местного значения на территории</w:t>
      </w:r>
      <w:r w:rsidR="00F71E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Чагодощенского муниципального округа 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F71E7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F71E7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  в сумме  </w:t>
      </w:r>
      <w:r w:rsidR="00F71E7C">
        <w:rPr>
          <w:rFonts w:ascii="Times New Roman" w:eastAsia="Times New Roman" w:hAnsi="Times New Roman" w:cs="Times New Roman"/>
          <w:sz w:val="28"/>
          <w:szCs w:val="28"/>
          <w:lang w:eastAsia="ar-SA"/>
        </w:rPr>
        <w:t>23636,2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или 9</w:t>
      </w:r>
      <w:r w:rsidR="00F71E7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71E7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 от утвержденного плана;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0412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отражены расходы в сумме 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4577,6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 при плане 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5009,4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т.е.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94,1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 на реализацию мероприятий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следующих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«Совершенствование системы управления и распоряжения земельно-имущественным комплексом Чагодощенского муниципального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 –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4137,9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тыс.рублей, «Комплексное развитие сельских территорий Чагодощенского муниципального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Вологодской области на 2020-2025 годы» – 35,0 тыс.рублей, «Развитие малого и среднего предпринимательства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Чагодощенско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м муниципальном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округе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-2025 годы» –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404,7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на содержание комитета по управлению имуществом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Чагодощенского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818,6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рублей). Таблица </w:t>
      </w:r>
      <w:r w:rsidR="003B5F50">
        <w:rPr>
          <w:rFonts w:ascii="Times New Roman" w:eastAsia="Times New Roman" w:hAnsi="Times New Roman" w:cs="Times New Roman"/>
          <w:sz w:val="28"/>
          <w:szCs w:val="28"/>
          <w:lang w:eastAsia="ar-SA"/>
        </w:rPr>
        <w:t>№ 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:rsid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B63D72" w:rsidRPr="0074103A" w:rsidRDefault="0074103A" w:rsidP="00B63D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63D72"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Таблица №</w:t>
      </w:r>
      <w:r w:rsidR="00B63D72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9</w:t>
      </w:r>
    </w:p>
    <w:p w:rsidR="00B63D72" w:rsidRDefault="00B63D72" w:rsidP="00B63D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(тыс.рублей)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tbl>
      <w:tblPr>
        <w:tblW w:w="9500" w:type="dxa"/>
        <w:tblInd w:w="96" w:type="dxa"/>
        <w:tblLook w:val="04A0"/>
      </w:tblPr>
      <w:tblGrid>
        <w:gridCol w:w="860"/>
        <w:gridCol w:w="1536"/>
        <w:gridCol w:w="1126"/>
        <w:gridCol w:w="861"/>
        <w:gridCol w:w="931"/>
        <w:gridCol w:w="678"/>
        <w:gridCol w:w="1249"/>
        <w:gridCol w:w="1139"/>
        <w:gridCol w:w="872"/>
        <w:gridCol w:w="931"/>
      </w:tblGrid>
      <w:tr w:rsidR="00B63D72" w:rsidRPr="00B63D72" w:rsidTr="00B63D72">
        <w:trPr>
          <w:trHeight w:val="30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B63D72" w:rsidRPr="00B63D72" w:rsidTr="00B63D72">
        <w:trPr>
          <w:trHeight w:val="126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61 от 22.12.2022г.)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B6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№103 от 28.12.2023г)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r w:rsidRPr="00B6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63D72" w:rsidRPr="00B63D72" w:rsidTr="00B63D72">
        <w:trPr>
          <w:trHeight w:val="300"/>
        </w:trPr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32938,7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32429,4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98,5%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25430,9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34931,1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33973,4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97,3%</w:t>
            </w:r>
          </w:p>
        </w:tc>
      </w:tr>
      <w:tr w:rsidR="00B63D72" w:rsidRPr="00B63D72" w:rsidTr="00B63D72">
        <w:trPr>
          <w:trHeight w:val="30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2455,7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1649,7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5759,6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5759,6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B63D72" w:rsidRPr="00B63D72" w:rsidTr="00B63D72">
        <w:trPr>
          <w:trHeight w:val="300"/>
        </w:trPr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27128,9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26741,6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98,57%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82,5%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24162,1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23636,2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97,8%</w:t>
            </w:r>
          </w:p>
        </w:tc>
      </w:tr>
      <w:tr w:rsidR="00B63D72" w:rsidRPr="00B63D72" w:rsidTr="00B63D72">
        <w:trPr>
          <w:trHeight w:val="444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3232,1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96,36%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4771,2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5009,4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4577,6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63D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91,4%</w:t>
            </w:r>
          </w:p>
        </w:tc>
      </w:tr>
      <w:tr w:rsidR="00B63D72" w:rsidRPr="00B63D72" w:rsidTr="00B63D72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D72" w:rsidRPr="00B63D72" w:rsidRDefault="00B63D72" w:rsidP="00B6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Pr="0074103A" w:rsidRDefault="0074103A" w:rsidP="0074103A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0500 "Жилищно-коммунальное хозяйство"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бюджет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 202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 бюджетные ассигнования утверждены в объеме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462122,8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 В течение года ассигнования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уменьшены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17546,9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3,8%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составили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444575,9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расходы составляют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44,2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структуре расходов бюджета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(против </w:t>
      </w:r>
      <w:r w:rsidR="008739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26,5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202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году). В целом по данному разделу в 202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израсходовано средств бюджета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259725,1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1,5 раза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больше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чем в 202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году. 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="00CF6FD9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исполнены в объеме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437959,6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94,8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% к первоначально утвержденному бюджету и на 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98,5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уточненному  бюджету. Не освоено средств на сумму </w:t>
      </w:r>
      <w:r w:rsidR="00CF6FD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6616,3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отражены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расходы: </w:t>
      </w:r>
    </w:p>
    <w:p w:rsidR="0074103A" w:rsidRPr="0074103A" w:rsidRDefault="0074103A" w:rsidP="007410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-подраздел 0501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сумме  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>314383,7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или 9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утвержденного бюджета (реализация муниципальной программы «Переселение граждан из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аварийного жилищного фонда в Чагодощенском муниципальном 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округе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 2019-2025 годы»).</w:t>
      </w:r>
    </w:p>
    <w:p w:rsidR="00CF6FD9" w:rsidRPr="0074103A" w:rsidRDefault="0074103A" w:rsidP="00CF6F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-подраздел 0502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>83264,4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или 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>95,7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утвержденного бюджета  на реализацию 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следующих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«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жилищно-коммунального хозяйства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Чагодощенского муниципального 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 – 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>76523,3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6FD9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Энергосбережение и повышение </w:t>
      </w:r>
      <w:r w:rsidR="00444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энергетической эффективности в 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6FD9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Чагодощенского муниципального 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="0044432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6FD9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F6FD9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F6FD9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 – </w:t>
      </w:r>
      <w:r w:rsidR="00444321">
        <w:rPr>
          <w:rFonts w:ascii="Times New Roman" w:eastAsia="Times New Roman" w:hAnsi="Times New Roman" w:cs="Times New Roman"/>
          <w:sz w:val="28"/>
          <w:szCs w:val="28"/>
          <w:lang w:eastAsia="ar-SA"/>
        </w:rPr>
        <w:t>93,4</w:t>
      </w:r>
      <w:r w:rsidR="00CF6FD9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</w:t>
      </w:r>
      <w:r w:rsidR="00CF6F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F6FD9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432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реализацию проекта «Народный бюджет» - 8135,1 тыс.руб.</w:t>
      </w:r>
    </w:p>
    <w:p w:rsidR="00885975" w:rsidRPr="00444321" w:rsidRDefault="0074103A" w:rsidP="0044432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A33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0503</w:t>
      </w:r>
      <w:r w:rsidRPr="00A33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отражены  расходы по благоустройству –   </w:t>
      </w:r>
      <w:r w:rsidR="00444321">
        <w:rPr>
          <w:rFonts w:ascii="Times New Roman" w:eastAsia="Times New Roman" w:hAnsi="Times New Roman" w:cs="Times New Roman"/>
          <w:sz w:val="28"/>
          <w:szCs w:val="28"/>
          <w:lang w:eastAsia="ar-SA"/>
        </w:rPr>
        <w:t>40311,5</w:t>
      </w:r>
      <w:r w:rsidRPr="00A33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 или </w:t>
      </w:r>
      <w:r w:rsidR="00444321">
        <w:rPr>
          <w:rFonts w:ascii="Times New Roman" w:eastAsia="Times New Roman" w:hAnsi="Times New Roman" w:cs="Times New Roman"/>
          <w:sz w:val="28"/>
          <w:szCs w:val="28"/>
          <w:lang w:eastAsia="ar-SA"/>
        </w:rPr>
        <w:t>94,9</w:t>
      </w:r>
      <w:r w:rsidRPr="00A33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от утвержденного бюджета. </w:t>
      </w:r>
      <w:r w:rsidR="00444321" w:rsidRPr="0044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по разделу отражены в </w:t>
      </w:r>
      <w:r w:rsidRPr="0044432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</w:t>
      </w:r>
      <w:r w:rsidR="00444321" w:rsidRPr="0044432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444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4321" w:rsidRPr="00444321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74103A" w:rsidRPr="0074103A" w:rsidRDefault="0074103A" w:rsidP="00885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Таблица № </w:t>
      </w:r>
      <w:r w:rsidR="00444321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10</w:t>
      </w:r>
    </w:p>
    <w:p w:rsidR="0074103A" w:rsidRPr="0074103A" w:rsidRDefault="00444321" w:rsidP="004443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тыс.руб</w:t>
      </w:r>
    </w:p>
    <w:tbl>
      <w:tblPr>
        <w:tblW w:w="10180" w:type="dxa"/>
        <w:tblInd w:w="96" w:type="dxa"/>
        <w:tblLook w:val="04A0"/>
      </w:tblPr>
      <w:tblGrid>
        <w:gridCol w:w="876"/>
        <w:gridCol w:w="1302"/>
        <w:gridCol w:w="1148"/>
        <w:gridCol w:w="876"/>
        <w:gridCol w:w="948"/>
        <w:gridCol w:w="762"/>
        <w:gridCol w:w="1274"/>
        <w:gridCol w:w="1161"/>
        <w:gridCol w:w="888"/>
        <w:gridCol w:w="948"/>
      </w:tblGrid>
      <w:tr w:rsidR="00A33502" w:rsidRPr="00A33502" w:rsidTr="00A33502">
        <w:trPr>
          <w:trHeight w:val="30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A33502" w:rsidRPr="00A33502" w:rsidTr="00A33502">
        <w:trPr>
          <w:trHeight w:val="852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61 от 22.12.2022г.)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№103 от 28.12.2023г)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33502" w:rsidRPr="00A33502" w:rsidTr="00A33502">
        <w:trPr>
          <w:trHeight w:val="492"/>
        </w:trPr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183709,8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178234,5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462122,8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444576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437959,6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98,5%</w:t>
            </w:r>
          </w:p>
        </w:tc>
      </w:tr>
      <w:tr w:rsidR="00A33502" w:rsidRPr="00A33502" w:rsidTr="00A33502">
        <w:trPr>
          <w:trHeight w:val="30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102537,8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98586,3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55,3%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415575,5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315046,4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314383,7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99,8%</w:t>
            </w:r>
          </w:p>
        </w:tc>
      </w:tr>
      <w:tr w:rsidR="00A33502" w:rsidRPr="00A33502" w:rsidTr="00A33502">
        <w:trPr>
          <w:trHeight w:val="300"/>
        </w:trPr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38282,3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37957,8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99,15%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13172,9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87041,9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83264,4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444321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  <w:r w:rsidR="00A33502"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3502" w:rsidRPr="00A33502" w:rsidTr="00A33502">
        <w:trPr>
          <w:trHeight w:val="30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42889,7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41690,4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23,4%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33374,4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42487,7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40311,5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94,9%</w:t>
            </w:r>
          </w:p>
        </w:tc>
      </w:tr>
    </w:tbl>
    <w:p w:rsidR="0074103A" w:rsidRPr="0074103A" w:rsidRDefault="0074103A" w:rsidP="0074103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03A" w:rsidRPr="0074103A" w:rsidRDefault="0074103A" w:rsidP="0074103A">
      <w:pPr>
        <w:numPr>
          <w:ilvl w:val="0"/>
          <w:numId w:val="21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0600 "Охрана окружающей среды"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бюджете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 202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 бюджетные ассигнования утверждены в объеме 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21921,0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 В течение года ассигнования уменьшены на 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21649,5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98,8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и 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составили 271,5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данному разделу расходы составляют 0,0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структуре расходов бюджета</w:t>
      </w:r>
      <w:r w:rsidR="005F61B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(против 0,0</w:t>
      </w:r>
      <w:r w:rsidR="008739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2021 году). В целом по данному разделу в 202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израсходовано средств бюджета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191,5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79,3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% 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мен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ьше, чем в 202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году. 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="00F15812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исполнены в объеме 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50,0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0,2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первоначально утвержденному бюджету и на  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18,4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уточненному  бюджету. Не освоено средств на сумму </w:t>
      </w:r>
      <w:r w:rsidR="00F158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221,5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Default="00F15812" w:rsidP="007410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0603 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мероприятия по экологическому образованию и просвещению –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50,0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тыс.рублей, осуществлению отдельных государственных полномочий по предупреждению и ликвида</w:t>
      </w:r>
      <w:r w:rsid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болезней животных в сумме – 161,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невостребованными.</w:t>
      </w:r>
      <w:r w:rsidR="0074103A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16EBE" w:rsidRDefault="00616EBE" w:rsidP="00913E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616EBE" w:rsidRDefault="00616EBE" w:rsidP="00913E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616EBE" w:rsidRDefault="00616EBE" w:rsidP="00913E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616EBE" w:rsidRDefault="00616EBE" w:rsidP="00913E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616EBE" w:rsidRDefault="00616EBE" w:rsidP="00913E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616EBE" w:rsidRDefault="00616EBE" w:rsidP="00913E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913E58" w:rsidRPr="0074103A" w:rsidRDefault="00913E58" w:rsidP="00913E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lastRenderedPageBreak/>
        <w:t xml:space="preserve">Таблица № </w:t>
      </w:r>
      <w:r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11</w:t>
      </w:r>
    </w:p>
    <w:p w:rsidR="00913E58" w:rsidRPr="0074103A" w:rsidRDefault="00913E58" w:rsidP="00913E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тыс.руб</w:t>
      </w:r>
    </w:p>
    <w:p w:rsidR="00913E58" w:rsidRDefault="00913E58" w:rsidP="007410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183" w:type="dxa"/>
        <w:tblInd w:w="96" w:type="dxa"/>
        <w:tblLayout w:type="fixed"/>
        <w:tblLook w:val="04A0"/>
      </w:tblPr>
      <w:tblGrid>
        <w:gridCol w:w="889"/>
        <w:gridCol w:w="1220"/>
        <w:gridCol w:w="1169"/>
        <w:gridCol w:w="891"/>
        <w:gridCol w:w="965"/>
        <w:gridCol w:w="832"/>
        <w:gridCol w:w="1166"/>
        <w:gridCol w:w="1183"/>
        <w:gridCol w:w="903"/>
        <w:gridCol w:w="965"/>
      </w:tblGrid>
      <w:tr w:rsidR="00A33502" w:rsidRPr="00A33502" w:rsidTr="00F15812">
        <w:trPr>
          <w:trHeight w:val="300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A33502" w:rsidRPr="00A33502" w:rsidTr="00F15812">
        <w:trPr>
          <w:trHeight w:val="852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61 от 22.12.2022г.)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№103 от 28.12.2023г)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33502" w:rsidRPr="00A33502" w:rsidTr="00F15812">
        <w:trPr>
          <w:trHeight w:val="300"/>
        </w:trPr>
        <w:tc>
          <w:tcPr>
            <w:tcW w:w="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79,3%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21921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271,5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18,4%</w:t>
            </w:r>
          </w:p>
        </w:tc>
      </w:tr>
      <w:tr w:rsidR="00A33502" w:rsidRPr="00A33502" w:rsidTr="00F15812">
        <w:trPr>
          <w:trHeight w:val="44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79,3%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21921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18,4%</w:t>
            </w:r>
          </w:p>
        </w:tc>
      </w:tr>
    </w:tbl>
    <w:p w:rsidR="00A33502" w:rsidRPr="0074103A" w:rsidRDefault="00A33502" w:rsidP="007410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Pr="0074103A" w:rsidRDefault="0074103A" w:rsidP="0074103A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0700 "Образование"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бюджете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 202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 бюджетные ассигнования утверждены в объеме 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327364,4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 В течение года ассигнования увеличены на 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7418,8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2,3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и составили 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319945,6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расходы составляют 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32,2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структуре расходов бюджета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(против </w:t>
      </w:r>
      <w:r w:rsidR="008739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40,1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202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году). В целом по данному разделу в 202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израсходовано средств бюджета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48819,0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18,1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больше, чем в 202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году. 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="009553A7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исполнены в объеме 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319174,1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3 тыс. рублей, или на 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97,5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к первоначально утвержденному бюджету и на  99,</w:t>
      </w:r>
      <w:r w:rsidR="009553A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к уточненному  бюджету.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освоены 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расходы:</w:t>
      </w:r>
    </w:p>
    <w:p w:rsidR="0074103A" w:rsidRPr="0074103A" w:rsidRDefault="0074103A" w:rsidP="0074103A">
      <w:pPr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подраздел 0701 в сумме </w:t>
      </w:r>
      <w:r w:rsidR="009553A7">
        <w:rPr>
          <w:rFonts w:ascii="Times New Roman" w:eastAsia="Times New Roman" w:hAnsi="Times New Roman" w:cs="Times New Roman"/>
          <w:sz w:val="28"/>
          <w:szCs w:val="28"/>
          <w:lang w:eastAsia="ru-RU"/>
        </w:rPr>
        <w:t>82603,5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т.е. 100,0% от утвержденных назначений  на содержание детских дошкольных учреждений;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подраздел 0702 отражены расходы  в сумме </w:t>
      </w:r>
      <w:r w:rsidR="0095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181847,8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т.е. 99,</w:t>
      </w:r>
      <w:r w:rsidR="009553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утвержденных назначений</w:t>
      </w:r>
      <w:r w:rsidR="0095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общеобразовательных школ, на обеспечение ежемесячного денежного вознаграждения за классное руководство,</w:t>
      </w:r>
      <w:r w:rsidR="00E7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расходных обязательств части выплаты заработной платы на обеспечение деятельности советников директора, на организацию горячего бесплатного питания обучающихся, на реализацию мероприятий по модернизации школьных систем образования в рамках государственной программы РФ «Развитие образования»</w:t>
      </w:r>
      <w:r w:rsidR="0095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 подраздел приходится основная доля бюджетных ассигнований данного подраздела – </w:t>
      </w:r>
      <w:r w:rsidR="009553A7">
        <w:rPr>
          <w:rFonts w:ascii="Times New Roman" w:eastAsia="Times New Roman" w:hAnsi="Times New Roman" w:cs="Times New Roman"/>
          <w:sz w:val="28"/>
          <w:szCs w:val="28"/>
          <w:lang w:eastAsia="ru-RU"/>
        </w:rPr>
        <w:t>57,0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сравнении с 202</w:t>
      </w:r>
      <w:r w:rsidR="009553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-</w:t>
      </w:r>
      <w:r w:rsidR="009553A7">
        <w:rPr>
          <w:rFonts w:ascii="Times New Roman" w:eastAsia="Times New Roman" w:hAnsi="Times New Roman" w:cs="Times New Roman"/>
          <w:sz w:val="28"/>
          <w:szCs w:val="28"/>
          <w:lang w:eastAsia="ru-RU"/>
        </w:rPr>
        <w:t>54,0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подраздел 0703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отражены расходы на содержание учреждений дополнительного образования детей в сумме </w:t>
      </w:r>
      <w:r w:rsidR="00E77A2B">
        <w:rPr>
          <w:rFonts w:ascii="Times New Roman" w:eastAsia="Times New Roman" w:hAnsi="Times New Roman" w:cs="Times New Roman"/>
          <w:sz w:val="28"/>
          <w:szCs w:val="28"/>
          <w:lang w:eastAsia="ar-SA"/>
        </w:rPr>
        <w:t>33975,8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или </w:t>
      </w:r>
      <w:r w:rsidR="00E77A2B">
        <w:rPr>
          <w:rFonts w:ascii="Times New Roman" w:eastAsia="Times New Roman" w:hAnsi="Times New Roman" w:cs="Times New Roman"/>
          <w:sz w:val="28"/>
          <w:szCs w:val="28"/>
          <w:lang w:eastAsia="ar-SA"/>
        </w:rPr>
        <w:t>99,0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E77A2B">
        <w:rPr>
          <w:rFonts w:ascii="Times New Roman" w:eastAsia="Times New Roman" w:hAnsi="Times New Roman" w:cs="Times New Roman"/>
          <w:sz w:val="28"/>
          <w:szCs w:val="28"/>
          <w:lang w:eastAsia="ar-SA"/>
        </w:rPr>
        <w:t>в т.ч. в рамках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</w:t>
      </w:r>
      <w:r w:rsidR="00E77A2B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«Сохранение и развитие культурного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потенциала Чагодощенского муниципального </w:t>
      </w:r>
      <w:r w:rsidR="00E77A2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на 2023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E77A2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 на содержание МБУДО « Чагодская детская школа искусств»;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подраздел 0707 отражены расходы  в сумме </w:t>
      </w:r>
      <w:r w:rsidR="00480EA3">
        <w:rPr>
          <w:rFonts w:ascii="Times New Roman" w:eastAsia="Times New Roman" w:hAnsi="Times New Roman" w:cs="Times New Roman"/>
          <w:sz w:val="28"/>
          <w:szCs w:val="28"/>
          <w:lang w:eastAsia="ar-SA"/>
        </w:rPr>
        <w:t>794,7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или </w:t>
      </w:r>
      <w:r w:rsidR="00480EA3">
        <w:rPr>
          <w:rFonts w:ascii="Times New Roman" w:eastAsia="Times New Roman" w:hAnsi="Times New Roman" w:cs="Times New Roman"/>
          <w:sz w:val="28"/>
          <w:szCs w:val="28"/>
          <w:lang w:eastAsia="ar-SA"/>
        </w:rPr>
        <w:t>93,9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утвержденных назначений  в т.ч. на  молодежную политику – </w:t>
      </w:r>
      <w:r w:rsidR="00480EA3">
        <w:rPr>
          <w:rFonts w:ascii="Times New Roman" w:eastAsia="Times New Roman" w:hAnsi="Times New Roman" w:cs="Times New Roman"/>
          <w:sz w:val="28"/>
          <w:szCs w:val="28"/>
          <w:lang w:eastAsia="ar-SA"/>
        </w:rPr>
        <w:t>614,7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 руб., и организацию отдыха и оздоровление детей – </w:t>
      </w:r>
      <w:r w:rsidR="00480EA3">
        <w:rPr>
          <w:rFonts w:ascii="Times New Roman" w:eastAsia="Times New Roman" w:hAnsi="Times New Roman" w:cs="Times New Roman"/>
          <w:sz w:val="28"/>
          <w:szCs w:val="28"/>
          <w:lang w:eastAsia="ar-SA"/>
        </w:rPr>
        <w:t>180,0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подраздел 0709 отражены расходы в сумме  </w:t>
      </w:r>
      <w:r w:rsidR="00480EA3">
        <w:rPr>
          <w:rFonts w:ascii="Times New Roman" w:eastAsia="Times New Roman" w:hAnsi="Times New Roman" w:cs="Times New Roman"/>
          <w:sz w:val="28"/>
          <w:szCs w:val="28"/>
          <w:lang w:eastAsia="ar-SA"/>
        </w:rPr>
        <w:t>19952,3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т.е. 9</w:t>
      </w:r>
      <w:r w:rsidR="00480EA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,4 % от утвержденных назначений</w:t>
      </w:r>
      <w:r w:rsidR="0048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муниципальных программ «Развитие кадрового потенциала в Чагодощенском округе на 2023-2025годы», «Обеспечение безопасности жизнидеятельности населения Чагодощенского муниципального округа на 2023-2026 годы», «Развитие системы образования Чагодощенского муниципального округа на 2023-2025 годы»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. Таблица 1</w:t>
      </w:r>
      <w:r w:rsidR="00480EA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74103A" w:rsidRDefault="0074103A" w:rsidP="003A55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Таблица № </w:t>
      </w:r>
      <w:r w:rsidR="00480EA3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12</w:t>
      </w:r>
    </w:p>
    <w:p w:rsidR="003A5518" w:rsidRPr="0074103A" w:rsidRDefault="003A5518" w:rsidP="003A55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тыс.руб</w:t>
      </w:r>
    </w:p>
    <w:tbl>
      <w:tblPr>
        <w:tblW w:w="10183" w:type="dxa"/>
        <w:tblInd w:w="96" w:type="dxa"/>
        <w:tblLook w:val="04A0"/>
      </w:tblPr>
      <w:tblGrid>
        <w:gridCol w:w="880"/>
        <w:gridCol w:w="1258"/>
        <w:gridCol w:w="1153"/>
        <w:gridCol w:w="880"/>
        <w:gridCol w:w="953"/>
        <w:gridCol w:w="766"/>
        <w:gridCol w:w="1281"/>
        <w:gridCol w:w="1167"/>
        <w:gridCol w:w="892"/>
        <w:gridCol w:w="953"/>
      </w:tblGrid>
      <w:tr w:rsidR="00A33502" w:rsidRPr="00A33502" w:rsidTr="00480EA3">
        <w:trPr>
          <w:trHeight w:val="30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2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A33502" w:rsidRPr="00A33502" w:rsidTr="00480EA3">
        <w:trPr>
          <w:trHeight w:val="85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61 от 22.12.2022г.)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№103 от 28.12.2023г)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33502" w:rsidRPr="00A33502" w:rsidTr="00480EA3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A33502" w:rsidRPr="00480EA3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271416,1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270355,1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99,6%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327364,4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319945,5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319174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99,8%</w:t>
            </w:r>
          </w:p>
        </w:tc>
      </w:tr>
      <w:tr w:rsidR="00A33502" w:rsidRPr="00A33502" w:rsidTr="00480EA3">
        <w:trPr>
          <w:trHeight w:val="30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82087,3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82087,3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86033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82603,5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82603,5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A33502" w:rsidRPr="00A33502" w:rsidTr="00480EA3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146887,8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145958,6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99,37%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187128,6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182219,3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181847,8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480EA3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99,8%</w:t>
            </w:r>
            <w:r w:rsidR="00A33502"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3502" w:rsidRPr="00A33502" w:rsidTr="00480EA3">
        <w:trPr>
          <w:trHeight w:val="30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23786,9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23786,9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33987,9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34007,7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33975,8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99,9%</w:t>
            </w:r>
          </w:p>
        </w:tc>
      </w:tr>
      <w:tr w:rsidR="00A33502" w:rsidRPr="00A33502" w:rsidTr="00480EA3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96,76%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602,6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846,6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794,7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93,9%</w:t>
            </w:r>
          </w:p>
        </w:tc>
      </w:tr>
      <w:tr w:rsidR="00A33502" w:rsidRPr="00A33502" w:rsidTr="00480EA3">
        <w:trPr>
          <w:trHeight w:val="30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18052,8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17940,5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99,38%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19612,3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20268,4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19952,3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98,4%</w:t>
            </w:r>
          </w:p>
        </w:tc>
      </w:tr>
    </w:tbl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74103A" w:rsidRPr="0074103A" w:rsidRDefault="0074103A" w:rsidP="00885975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103A" w:rsidRPr="0074103A" w:rsidRDefault="0074103A" w:rsidP="0074103A">
      <w:pPr>
        <w:numPr>
          <w:ilvl w:val="0"/>
          <w:numId w:val="21"/>
        </w:num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0800 "Культура и кинематография"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бюджете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 202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 бюджетные ассигнования утверждены в объеме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53192,1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 В течение года ассигнования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увеличены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2727,0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5,2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и составили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319945,6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расходы составляют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5,6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структуре расходов бюджета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(против </w:t>
      </w:r>
      <w:r w:rsidR="008739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7,6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202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году). В целом по данному разделу в 202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израсходовано средств бюджета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4460,9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8,7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больше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чем в 202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году. 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="003A5518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исполнены в объеме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55741,1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104,8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первоначально утвержденному бюджету и на 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99,7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уточненному  бюджету. </w:t>
      </w:r>
      <w:r w:rsidR="005B2CA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Сумма неиспользованных средств составила 178,0 тыс.руб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</w:p>
    <w:p w:rsidR="0074103A" w:rsidRPr="00A33502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Данные средства были направлены </w:t>
      </w:r>
      <w:r w:rsidRPr="0074103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Районного ДК, </w:t>
      </w:r>
      <w:r w:rsidR="005B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ДК, Сазоновского ДК, Белокрестского СКО, Избоищского </w:t>
      </w:r>
      <w:r w:rsidR="005B2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ДК, музея,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библиотечной системы, на обеспечение мероприятий в культуры, в сфере туризм</w:t>
      </w:r>
      <w:r w:rsidR="005B2C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проекта «Народный бюджет»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2CAC" w:rsidRPr="005B2CAC" w:rsidRDefault="005B2CAC" w:rsidP="005B2CAC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5B2CAC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Таблица № 1</w:t>
      </w:r>
      <w:r w:rsidR="00BF6AFD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3</w:t>
      </w:r>
    </w:p>
    <w:p w:rsidR="005B2CAC" w:rsidRPr="005B2CAC" w:rsidRDefault="005B2CAC" w:rsidP="005B2CAC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5B2CAC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тыс.руб</w:t>
      </w:r>
    </w:p>
    <w:tbl>
      <w:tblPr>
        <w:tblW w:w="10183" w:type="dxa"/>
        <w:tblInd w:w="96" w:type="dxa"/>
        <w:tblLook w:val="04A0"/>
      </w:tblPr>
      <w:tblGrid>
        <w:gridCol w:w="868"/>
        <w:gridCol w:w="1458"/>
        <w:gridCol w:w="1136"/>
        <w:gridCol w:w="868"/>
        <w:gridCol w:w="939"/>
        <w:gridCol w:w="684"/>
        <w:gridCol w:w="1261"/>
        <w:gridCol w:w="1150"/>
        <w:gridCol w:w="880"/>
        <w:gridCol w:w="939"/>
      </w:tblGrid>
      <w:tr w:rsidR="00A33502" w:rsidRPr="00A33502" w:rsidTr="005B2CAC">
        <w:trPr>
          <w:trHeight w:val="30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6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A33502" w:rsidRPr="00A33502" w:rsidTr="005B2CAC">
        <w:trPr>
          <w:trHeight w:val="85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61 от 22.12.2022г.)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№103 от 28.12.2023г)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33502" w:rsidRPr="00A33502" w:rsidTr="005B2CAC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51334,2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51280,2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99,9%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53192,1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55919,1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55741,1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99,7%</w:t>
            </w:r>
          </w:p>
        </w:tc>
      </w:tr>
      <w:tr w:rsidR="00A33502" w:rsidRPr="00A33502" w:rsidTr="005B2CAC">
        <w:trPr>
          <w:trHeight w:val="30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51334,2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51280,2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53192,1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55919,1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55741,1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99,7%</w:t>
            </w:r>
          </w:p>
        </w:tc>
      </w:tr>
    </w:tbl>
    <w:p w:rsidR="0074103A" w:rsidRPr="0074103A" w:rsidRDefault="0074103A" w:rsidP="0074103A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0900 "Здравоохранение"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бюджете</w:t>
      </w:r>
      <w:r w:rsidR="007220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 202</w:t>
      </w:r>
      <w:r w:rsidR="007220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 бюджетные ассигнования утверждены в объеме </w:t>
      </w:r>
      <w:r w:rsidR="007220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1210,6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 В течение года ассигнования увеличены на </w:t>
      </w:r>
      <w:r w:rsidR="007220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592,4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7220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48,9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и составили </w:t>
      </w:r>
      <w:r w:rsidR="007220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1803,0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тыс. 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асходы по разделу составляют 0,2% в структуре расходов бюджета</w:t>
      </w:r>
      <w:r w:rsidR="005F61B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(против 0,</w:t>
      </w:r>
      <w:r w:rsidR="007220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202</w:t>
      </w:r>
      <w:r w:rsidR="007220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году). В целом по данному разделу в 202</w:t>
      </w:r>
      <w:r w:rsidR="007220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израсходовано средств бюджета</w:t>
      </w:r>
      <w:r w:rsidR="007220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 </w:t>
      </w:r>
      <w:r w:rsidR="00BF6AF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383,3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  или на </w:t>
      </w:r>
      <w:r w:rsidR="00BF6AF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30,5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больше, чем в 202</w:t>
      </w:r>
      <w:r w:rsidR="0072201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 xml:space="preserve">по разделу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исполнены в объеме </w:t>
      </w:r>
      <w:r w:rsidR="00BF6AF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1640,8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BF6AF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135,5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первоначально утвержденному бюджету и на </w:t>
      </w:r>
      <w:r w:rsidR="00BF6AF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91,0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к уточненному  бюджету. Средс</w:t>
      </w:r>
      <w:r w:rsidR="00BF6AF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тва заложенные не освоены в сумме 162,2 тыс.руб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данному разделу освоены расходы:</w:t>
      </w:r>
    </w:p>
    <w:p w:rsidR="0074103A" w:rsidRPr="0074103A" w:rsidRDefault="0074103A" w:rsidP="007410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подраздел 0907</w:t>
      </w:r>
      <w:r w:rsidR="00BF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расходы на осуществление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по отлову и содержанию безнадзорных животных» в сумме </w:t>
      </w:r>
      <w:r w:rsidR="00BF6AFD">
        <w:rPr>
          <w:rFonts w:ascii="Times New Roman" w:eastAsia="Times New Roman" w:hAnsi="Times New Roman" w:cs="Times New Roman"/>
          <w:sz w:val="28"/>
          <w:szCs w:val="28"/>
          <w:lang w:eastAsia="ar-SA"/>
        </w:rPr>
        <w:t>193,3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74103A" w:rsidRDefault="0074103A" w:rsidP="007410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подраздел 09 в разделе 09 подраздел 09 отражены расходы в сумме  773,0 тыс.рублей на реализацию муниципальной программы «Развитие кадрового потенциала в Чагодощенском </w:t>
      </w:r>
      <w:r w:rsidR="00BF6AF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округе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</w:t>
      </w:r>
      <w:r w:rsidR="00BF6AFD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-2025 годы» – </w:t>
      </w:r>
      <w:r w:rsidR="00BF6AFD">
        <w:rPr>
          <w:rFonts w:ascii="Times New Roman" w:eastAsia="Times New Roman" w:hAnsi="Times New Roman" w:cs="Times New Roman"/>
          <w:sz w:val="28"/>
          <w:szCs w:val="28"/>
          <w:lang w:eastAsia="ar-SA"/>
        </w:rPr>
        <w:t>1349,7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реализация мероприятий по муниципальной программе «Снижение ВИЧ-инфекции на территории Чагодощенского муниципального </w:t>
      </w:r>
      <w:r w:rsidR="00BF6AF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BF6AF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-2025,годы»- </w:t>
      </w:r>
      <w:r w:rsidR="00BF6AFD">
        <w:rPr>
          <w:rFonts w:ascii="Times New Roman" w:eastAsia="Times New Roman" w:hAnsi="Times New Roman" w:cs="Times New Roman"/>
          <w:sz w:val="28"/>
          <w:szCs w:val="28"/>
          <w:lang w:eastAsia="ar-SA"/>
        </w:rPr>
        <w:t>98,1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BF6AFD" w:rsidRPr="005B2CAC" w:rsidRDefault="00BF6AFD" w:rsidP="00BF6AFD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5B2CAC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Таблица № 1</w:t>
      </w:r>
      <w:r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4</w:t>
      </w:r>
    </w:p>
    <w:p w:rsidR="00BF6AFD" w:rsidRPr="005B2CAC" w:rsidRDefault="00BF6AFD" w:rsidP="00BF6AFD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5B2CAC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тыс.руб</w:t>
      </w:r>
    </w:p>
    <w:tbl>
      <w:tblPr>
        <w:tblW w:w="10183" w:type="dxa"/>
        <w:tblInd w:w="96" w:type="dxa"/>
        <w:tblLook w:val="04A0"/>
      </w:tblPr>
      <w:tblGrid>
        <w:gridCol w:w="852"/>
        <w:gridCol w:w="1465"/>
        <w:gridCol w:w="1114"/>
        <w:gridCol w:w="853"/>
        <w:gridCol w:w="922"/>
        <w:gridCol w:w="828"/>
        <w:gridCol w:w="1236"/>
        <w:gridCol w:w="1127"/>
        <w:gridCol w:w="864"/>
        <w:gridCol w:w="922"/>
      </w:tblGrid>
      <w:tr w:rsidR="00A33502" w:rsidRPr="00A33502" w:rsidTr="00BF6AFD">
        <w:trPr>
          <w:trHeight w:val="300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7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BF6AFD" w:rsidRPr="00A33502" w:rsidTr="00BF6AFD">
        <w:trPr>
          <w:trHeight w:val="85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61 от 22.12.2022г.)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№103 от 28.12.2023г)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F6AFD" w:rsidRPr="00A33502" w:rsidTr="00BF6AFD">
        <w:trPr>
          <w:trHeight w:val="300"/>
        </w:trPr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0901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1257,5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1257,5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1210,6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1803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1640,8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91,0%</w:t>
            </w:r>
          </w:p>
        </w:tc>
      </w:tr>
      <w:tr w:rsidR="00BF6AFD" w:rsidRPr="00A33502" w:rsidTr="00BF6AFD">
        <w:trPr>
          <w:trHeight w:val="564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0907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16,6%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220,6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BF6AFD" w:rsidRPr="00A33502" w:rsidTr="00BF6AFD">
        <w:trPr>
          <w:trHeight w:val="684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83,4%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1447,8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BF6AFD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89,9%</w:t>
            </w:r>
            <w:r w:rsidR="00A33502"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4103A" w:rsidRPr="0074103A" w:rsidRDefault="0074103A" w:rsidP="0074103A">
      <w:pPr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74103A" w:rsidRPr="0074103A" w:rsidRDefault="0074103A" w:rsidP="0074103A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Раздел 1000 "Социальная политика"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воначальном варианте решения о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бюджете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 202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 бюджетные ассигнования утверждены в объеме 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9747,2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 В течение года ассигнования 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увеличены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 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10866,3 тыс. рублей, или на 111,5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и составили 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10866,3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Расходы на социальную политику составляют 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1,7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структуре расходов бюджета</w:t>
      </w:r>
      <w:r w:rsidR="005F61B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</w:t>
      </w:r>
      <w:r w:rsidR="008739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2,3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202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году). В целом по данному разделу в 202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израсходовано средств бюджета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1661,7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10,7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больше, чем в 202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="00013A25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исполнены в объеме 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17137,9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175,8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первоначально утвержденному бюджету и на  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83,1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97,9% к уточненному  бюджету. Не освоено средств на сумму </w:t>
      </w:r>
      <w:r w:rsidR="00013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3475,6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тыс. рублей.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данному разделу освоены расходы: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подраздел 1001 отражены расходы на доплаты к пенсиям  муниципальных служащих  в сумме  </w:t>
      </w:r>
      <w:r w:rsidR="00013A25">
        <w:rPr>
          <w:rFonts w:ascii="Times New Roman" w:eastAsia="Times New Roman" w:hAnsi="Times New Roman" w:cs="Times New Roman"/>
          <w:sz w:val="28"/>
          <w:szCs w:val="28"/>
          <w:lang w:eastAsia="ar-SA"/>
        </w:rPr>
        <w:t>3353,2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 -</w:t>
      </w:r>
      <w:r w:rsidR="00013A25">
        <w:rPr>
          <w:rFonts w:ascii="Times New Roman" w:eastAsia="Times New Roman" w:hAnsi="Times New Roman" w:cs="Times New Roman"/>
          <w:sz w:val="28"/>
          <w:szCs w:val="28"/>
          <w:lang w:eastAsia="ar-SA"/>
        </w:rPr>
        <w:t>919,1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плана</w:t>
      </w:r>
      <w:r w:rsidR="00013A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муниципальной программы «Социальная поддержка граждан Чагодощенского муниципального округа на 2023-2025годы»;</w:t>
      </w:r>
    </w:p>
    <w:p w:rsidR="0074103A" w:rsidRPr="0074103A" w:rsidRDefault="0074103A" w:rsidP="007410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-подраздел 1003 отражены расходы  в сумме </w:t>
      </w:r>
      <w:r w:rsidR="00013A25">
        <w:rPr>
          <w:rFonts w:ascii="Times New Roman" w:eastAsia="Times New Roman" w:hAnsi="Times New Roman" w:cs="Times New Roman"/>
          <w:sz w:val="28"/>
          <w:szCs w:val="28"/>
          <w:lang w:eastAsia="ar-SA"/>
        </w:rPr>
        <w:t>13043,4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 – </w:t>
      </w:r>
      <w:r w:rsidR="00013A25">
        <w:rPr>
          <w:rFonts w:ascii="Times New Roman" w:eastAsia="Times New Roman" w:hAnsi="Times New Roman" w:cs="Times New Roman"/>
          <w:sz w:val="28"/>
          <w:szCs w:val="28"/>
          <w:lang w:eastAsia="ar-SA"/>
        </w:rPr>
        <w:t>79,1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плановых назначений на  выплаты Почетным гражданам района </w:t>
      </w:r>
      <w:r w:rsidR="008E7CCD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муниципальной программы «Социальная поддержка граждан Чагодощенского муниципального округа на 2023-2025годы»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предоставление мер социальной поддержки отдельным категориям граждан, проживающих и работающих в сельской, на реализацию муниципальной программы «Обеспечение жильем молодых семей в Чагодощенском муниципальном районе на 2022-2025 годы», на реализацию муниципальной программы «Совершенствование системы управления и распоряжения земельно-имущественным комплексом Чагодощенского муниципального </w:t>
      </w:r>
      <w:r w:rsidR="008E7C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8E7CC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8E7CC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</w:t>
      </w:r>
      <w:r w:rsidR="008E7CC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обеспечение мер социальной поддержки в виде предоставления единовременной денежной выплаты гражданам заключившие  с 1 октября 2023 года контракт о прохождении военной службы в ВС РФ для участия в СВО, в рамках осуществления полномочий по обеспечению жильем граждан, установленных ФЗ от 24.11.1995г. № 181-ФЗ « О социальной защите инвалидов Российской Федерации»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4103A" w:rsidRPr="0074103A" w:rsidRDefault="0074103A" w:rsidP="00F52F8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-подраздел 1006  отражены расходы в сумме </w:t>
      </w:r>
      <w:r w:rsidR="00F52F85">
        <w:rPr>
          <w:rFonts w:ascii="Times New Roman" w:eastAsia="Times New Roman" w:hAnsi="Times New Roman" w:cs="Times New Roman"/>
          <w:sz w:val="28"/>
          <w:szCs w:val="28"/>
          <w:lang w:eastAsia="ar-SA"/>
        </w:rPr>
        <w:t>741,3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тыс.рублей- 100% плана на реализацию подпрограммы «Забота»  муниципальной  программы «Социальная поддержка граждан Чагодощенского муниципального района на 2020-2025 годы». </w:t>
      </w:r>
    </w:p>
    <w:p w:rsidR="006A13F0" w:rsidRDefault="006A13F0" w:rsidP="00F52F85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6A13F0" w:rsidRDefault="006A13F0" w:rsidP="00F52F85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F52F85" w:rsidRPr="005B2CAC" w:rsidRDefault="00F52F85" w:rsidP="00F52F85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5B2CAC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lastRenderedPageBreak/>
        <w:t xml:space="preserve">Таблица № </w:t>
      </w:r>
      <w:r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15</w:t>
      </w:r>
    </w:p>
    <w:p w:rsidR="00F52F85" w:rsidRDefault="00F52F85" w:rsidP="00F52F85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5B2CAC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тыс.руб</w:t>
      </w:r>
    </w:p>
    <w:p w:rsidR="00D078F8" w:rsidRDefault="00D078F8" w:rsidP="00D07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D078F8" w:rsidRDefault="00D078F8" w:rsidP="00D07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D078F8" w:rsidRPr="00D078F8" w:rsidRDefault="00D078F8" w:rsidP="00D07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74103A" w:rsidRPr="0074103A" w:rsidRDefault="0074103A" w:rsidP="007410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282" w:type="dxa"/>
        <w:tblInd w:w="96" w:type="dxa"/>
        <w:tblLook w:val="04A0"/>
      </w:tblPr>
      <w:tblGrid>
        <w:gridCol w:w="940"/>
        <w:gridCol w:w="1221"/>
        <w:gridCol w:w="1239"/>
        <w:gridCol w:w="941"/>
        <w:gridCol w:w="1020"/>
        <w:gridCol w:w="816"/>
        <w:gridCol w:w="1378"/>
        <w:gridCol w:w="1254"/>
        <w:gridCol w:w="954"/>
        <w:gridCol w:w="1020"/>
      </w:tblGrid>
      <w:tr w:rsidR="00A33502" w:rsidRPr="00A33502" w:rsidTr="00F52F85">
        <w:trPr>
          <w:trHeight w:val="300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F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</w:t>
            </w:r>
            <w:r w:rsidR="00F52F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3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3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A33502" w:rsidRPr="00A33502" w:rsidTr="00F52F85">
        <w:trPr>
          <w:trHeight w:val="852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61 от 22.12.2022г.)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№103 от 28.12.2023г)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33502" w:rsidRPr="00A33502" w:rsidTr="00F52F85">
        <w:trPr>
          <w:trHeight w:val="300"/>
        </w:trPr>
        <w:tc>
          <w:tcPr>
            <w:tcW w:w="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15560,3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15476,1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9747,2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20613,6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17137,9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83,1%</w:t>
            </w:r>
          </w:p>
        </w:tc>
      </w:tr>
      <w:tr w:rsidR="00A33502" w:rsidRPr="00A33502" w:rsidTr="00F52F85">
        <w:trPr>
          <w:trHeight w:val="300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3693,9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23,9%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4086,3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3385,2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3353,2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99,1%</w:t>
            </w:r>
          </w:p>
        </w:tc>
      </w:tr>
      <w:tr w:rsidR="00A33502" w:rsidRPr="00A33502" w:rsidTr="00F52F85">
        <w:trPr>
          <w:trHeight w:val="300"/>
        </w:trPr>
        <w:tc>
          <w:tcPr>
            <w:tcW w:w="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9484,3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61,3%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5052,9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16487,1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13043,4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F52F85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79,1%</w:t>
            </w:r>
            <w:r w:rsidR="00A33502"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3502" w:rsidRPr="00A33502" w:rsidTr="00F52F85">
        <w:trPr>
          <w:trHeight w:val="300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F52F85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A33502"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F52F85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A33502"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F52F85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A33502"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F52F85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A33502"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F52F85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A33502"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F52F85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A33502"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3502" w:rsidRPr="00A33502" w:rsidTr="00F52F85">
        <w:trPr>
          <w:trHeight w:val="444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99,96%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741,3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741,3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</w:tbl>
    <w:p w:rsidR="0074103A" w:rsidRPr="0074103A" w:rsidRDefault="0074103A" w:rsidP="007410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4103A" w:rsidRPr="0074103A" w:rsidRDefault="0074103A" w:rsidP="0074103A">
      <w:pPr>
        <w:numPr>
          <w:ilvl w:val="0"/>
          <w:numId w:val="21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1100 "Физическая культура и спорт"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бюджете</w:t>
      </w:r>
      <w:r w:rsidR="00F52F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 202</w:t>
      </w:r>
      <w:r w:rsidR="00F52F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3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год бюджетные ассигнования утверждены в объеме </w:t>
      </w:r>
      <w:r w:rsidR="00F52F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8217,1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 В течение года ассигнования увеличены на </w:t>
      </w:r>
      <w:r w:rsidR="00F52F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2219,2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почти на </w:t>
      </w:r>
      <w:r w:rsidR="00F52F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21,5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и составили </w:t>
      </w:r>
      <w:r w:rsidR="00F52F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10436,3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По данному разделу расходы составляют </w:t>
      </w:r>
      <w:r w:rsidR="00F52F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1,1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в структуре расходов бюджета </w:t>
      </w:r>
      <w:r w:rsidR="00F52F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округа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(против </w:t>
      </w:r>
      <w:r w:rsidR="008739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1,5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в 202</w:t>
      </w:r>
      <w:r w:rsidR="00F52F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году). В целом по данному разделу в 202</w:t>
      </w:r>
      <w:r w:rsidR="00F52F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израсходовано средств бюджета</w:t>
      </w:r>
      <w:r w:rsidR="00F52F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r w:rsidR="0077755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89,4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</w:t>
      </w:r>
      <w:r w:rsidR="0077755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0,9% больше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чем в 202</w:t>
      </w:r>
      <w:r w:rsidR="0077755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="00A33502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 xml:space="preserve">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исполнены в объеме </w:t>
      </w:r>
      <w:r w:rsidR="0077755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10418,7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рублей, или на </w:t>
      </w:r>
      <w:r w:rsidR="0077755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126,8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% к первоначально утвержденному бюджету и на </w:t>
      </w:r>
      <w:r w:rsidR="0077755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99,8%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 уточненному  бюджету.</w:t>
      </w:r>
    </w:p>
    <w:p w:rsid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по данному</w:t>
      </w:r>
      <w:r w:rsidR="0077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1102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направлялись: на </w:t>
      </w:r>
      <w:r w:rsidR="0077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</w:t>
      </w:r>
      <w:r w:rsidR="0077755B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7755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спорта в</w:t>
      </w:r>
      <w:r w:rsidR="0077755B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Чагодощенско</w:t>
      </w:r>
      <w:r w:rsidR="0077755B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77755B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</w:t>
      </w:r>
      <w:r w:rsidR="0077755B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77755B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755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округе</w:t>
      </w:r>
      <w:r w:rsidR="0077755B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77755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7755B"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-2025 годы»</w:t>
      </w:r>
      <w:r w:rsidR="007775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содержание Дворца спорта, на проведение спортивных мероприятий, содержание спортивных объектов, приобретение спортивного инвентаря, проведение занятий граждан физической культурой по проекту «Народный тренер», на реализацию проекта «Народный бюджет».</w:t>
      </w:r>
    </w:p>
    <w:p w:rsidR="00F52F85" w:rsidRPr="005B2CAC" w:rsidRDefault="00F52F85" w:rsidP="00F52F85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5B2CAC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Таблица № 1</w:t>
      </w:r>
      <w:r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6</w:t>
      </w:r>
    </w:p>
    <w:p w:rsidR="00F52F85" w:rsidRPr="005B2CAC" w:rsidRDefault="00F52F85" w:rsidP="00F52F85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5B2CAC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тыс.руб</w:t>
      </w:r>
    </w:p>
    <w:tbl>
      <w:tblPr>
        <w:tblW w:w="10183" w:type="dxa"/>
        <w:tblInd w:w="96" w:type="dxa"/>
        <w:tblLook w:val="04A0"/>
      </w:tblPr>
      <w:tblGrid>
        <w:gridCol w:w="862"/>
        <w:gridCol w:w="1514"/>
        <w:gridCol w:w="1129"/>
        <w:gridCol w:w="863"/>
        <w:gridCol w:w="933"/>
        <w:gridCol w:w="680"/>
        <w:gridCol w:w="1253"/>
        <w:gridCol w:w="1142"/>
        <w:gridCol w:w="874"/>
        <w:gridCol w:w="933"/>
      </w:tblGrid>
      <w:tr w:rsidR="00A33502" w:rsidRPr="00A33502" w:rsidTr="00274613">
        <w:trPr>
          <w:trHeight w:val="300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1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</w:t>
            </w:r>
          </w:p>
        </w:tc>
      </w:tr>
      <w:tr w:rsidR="00A33502" w:rsidRPr="00A33502" w:rsidTr="00274613">
        <w:trPr>
          <w:trHeight w:val="852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61 от 22.12.2022г.)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№103 от 28.12.2023г)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33502" w:rsidRPr="00A33502" w:rsidTr="00274613">
        <w:trPr>
          <w:trHeight w:val="300"/>
        </w:trPr>
        <w:tc>
          <w:tcPr>
            <w:tcW w:w="8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10936,9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10329,3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94,4%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8217,1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10436,3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10418,7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99,8%</w:t>
            </w:r>
          </w:p>
        </w:tc>
      </w:tr>
      <w:tr w:rsidR="00A33502" w:rsidRPr="00A33502" w:rsidTr="00274613">
        <w:trPr>
          <w:trHeight w:val="300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10936,9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10329,3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8217,1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10418,7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99,8%</w:t>
            </w:r>
          </w:p>
        </w:tc>
      </w:tr>
      <w:tr w:rsidR="00A33502" w:rsidRPr="00A33502" w:rsidTr="00274613">
        <w:trPr>
          <w:trHeight w:val="288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2" w:rsidRPr="00A33502" w:rsidRDefault="00A33502" w:rsidP="00A335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74613" w:rsidRPr="0074103A" w:rsidRDefault="00274613" w:rsidP="0027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     В представленной  Пояснительной записке более конкретизированы направления расходов бюджета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году.</w:t>
      </w:r>
    </w:p>
    <w:p w:rsidR="00274613" w:rsidRPr="00274613" w:rsidRDefault="00274613" w:rsidP="0027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Общее исполнение бюджетных назначений главными распорядителями соответствует данным представленного Отчета об исполнении местного бюджета района за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год. Исполнение расходных обязательств в соответствии с ведомственной структурой расходов бюджета в 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осуществляли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главных распорядителей бюджетных средств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количество не изменилось, но изменился их состав. </w:t>
      </w:r>
      <w:r w:rsidRPr="00274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Представительное Собрание Чагодощенского муниципального округа с 2023 года не является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74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главным распорядителем бюджетных средств, а контрольно-счетная комиссия Чагодощенского округа  является гла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274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ным распорядителем бюдже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274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ных средств.</w:t>
      </w:r>
    </w:p>
    <w:p w:rsidR="00274613" w:rsidRPr="0074103A" w:rsidRDefault="00274613" w:rsidP="00274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746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отчетный финансовый год исполнение годовых плановых назначений  ГРБС исполнено на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9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,0% в т.ч. по Финансовому управлению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Чагодощенского муниципального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100,0%, по Управлению образования администрации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Чагодощенского муниципального 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составило -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99,8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%; по Комитету по управлению муниципальным имуществом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Чагодощенского муниципального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- 9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%, по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контрольно-счетной комиссии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Чагодощенского муниципального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-9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%, по Администрация Чагодощенского муниципального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округа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- 9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 Первомайскому территориальному управлению – 94,6%, по Сазоновскому территориальному управлению – 93,2%, по Белокрестскому территориальному управлению – 99,5%, по Чагодскому территориальному управлению – 96,2%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274613" w:rsidRDefault="00274613" w:rsidP="00274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целом объем неисполненных назначений составил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19723,2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 или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,0% общего объема расходов бюджета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бюджетных назначений утвержденных р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Представительного Собрания Чагодощенского муниципального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бюджете Чагодощенского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,0% от общих расходов утвержденных сводной бюджетной росписью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9334B7" w:rsidRDefault="009334B7" w:rsidP="00933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% невыполнения расходов к плановым назначениям наблюдается  по разделам: 0600 «Охрана окружающей среды» - 81,6%, 0010 «Социальная политика» и составляет 16,9%, 0300 «Национальная оборона» - 15,1%.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Причина неисполнения в пояснительной записке не отражена.</w:t>
      </w:r>
    </w:p>
    <w:p w:rsidR="009E771B" w:rsidRPr="0074103A" w:rsidRDefault="009E771B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3A" w:rsidRPr="0074103A" w:rsidRDefault="0074103A" w:rsidP="0074103A">
      <w:pPr>
        <w:suppressAutoHyphens/>
        <w:autoSpaceDN w:val="0"/>
        <w:spacing w:before="120" w:after="120" w:line="240" w:lineRule="exac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5.3.</w:t>
      </w:r>
      <w:r w:rsidRPr="0074103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Анализ отчета о расходовании средств резервного фонда</w:t>
      </w:r>
    </w:p>
    <w:p w:rsidR="0074103A" w:rsidRPr="0074103A" w:rsidRDefault="009916D9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Пунктом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10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решения</w:t>
      </w:r>
      <w:r w:rsidR="007F24E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Представительного Собрания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 бюджете Чагодощенского муниципального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  2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.12.202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61 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размер резервного фонда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Чагодощенского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EF2C8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округа 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202</w:t>
      </w:r>
      <w:r w:rsidR="00EF2C8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утвержден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сумме </w:t>
      </w:r>
      <w:r w:rsidR="00EF2C8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40,0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рублей, в течение года плановые назначения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не 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были </w:t>
      </w:r>
      <w:r w:rsidR="00EF2C8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измен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ены</w:t>
      </w:r>
      <w:r w:rsidR="00EF2C8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Исполнение по данному виду расходов не было.</w:t>
      </w:r>
    </w:p>
    <w:p w:rsidR="0074103A" w:rsidRPr="00813FB8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Размер резервного фонда администрации </w:t>
      </w:r>
      <w:r w:rsidR="00EF2C8B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округа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не противоречит статье 81 БК РФ.</w:t>
      </w:r>
    </w:p>
    <w:p w:rsidR="0074103A" w:rsidRPr="0074103A" w:rsidRDefault="0074103A" w:rsidP="0074103A">
      <w:pPr>
        <w:suppressAutoHyphens/>
        <w:autoSpaceDN w:val="0"/>
        <w:spacing w:before="119" w:after="119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5.4 </w:t>
      </w: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. Анализ расходов средств дорожного фонда</w:t>
      </w:r>
    </w:p>
    <w:p w:rsidR="00813FB8" w:rsidRPr="00813FB8" w:rsidRDefault="0074103A" w:rsidP="00813FB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zh-CN"/>
        </w:rPr>
        <w:tab/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основании требований пункта 5 статьи 179.4 БК РФ, решени</w:t>
      </w:r>
      <w:r w:rsidR="009916D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Представительного Собрания Чагодощенского муниципального </w:t>
      </w:r>
      <w:r w:rsidR="00813FB8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округа 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 2</w:t>
      </w:r>
      <w:r w:rsidR="00813FB8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6.01.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20</w:t>
      </w:r>
      <w:r w:rsidR="00813FB8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23 № 9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«О дорожном фонде Чагодощенского муниципального района» (далее – Порядок </w:t>
      </w:r>
      <w:r w:rsidR="00813FB8" w:rsidRPr="00813F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использования бюджетных ассигнований дорожного фонда Чагодощенского муниципального округа Вологодской области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реализация мероприятий в сфере дорожного хозяйства осуществляется в рамках</w:t>
      </w:r>
      <w:r w:rsidR="00813FB8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униципального дорожного фонда </w:t>
      </w:r>
      <w:r w:rsidR="00813FB8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округа 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(далее – дорожный фонд).</w:t>
      </w:r>
    </w:p>
    <w:p w:rsidR="0074103A" w:rsidRPr="00813FB8" w:rsidRDefault="0074103A" w:rsidP="00813FB8">
      <w:pPr>
        <w:shd w:val="clear" w:color="auto" w:fill="FFFFFF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Решением Представительного Собрания Чагодощенского муниципального района от 2</w:t>
      </w:r>
      <w:r w:rsidR="00B11932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.12.202</w:t>
      </w:r>
      <w:r w:rsidR="00B11932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№ </w:t>
      </w:r>
      <w:r w:rsidR="00B11932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61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«О бюджете  Чагодощенского муниципального района на 202</w:t>
      </w:r>
      <w:r w:rsidR="00B11932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 и плановый период 202</w:t>
      </w:r>
      <w:r w:rsidR="00B11932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202</w:t>
      </w:r>
      <w:r w:rsidR="00B11932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годов» (в редакции решения от 2</w:t>
      </w:r>
      <w:r w:rsidR="003D2C97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8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.12.202</w:t>
      </w:r>
      <w:r w:rsidR="003D2C97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№</w:t>
      </w:r>
      <w:r w:rsidR="003D2C97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103)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бюджетные ассигнования Дорожного фонда на 202</w:t>
      </w:r>
      <w:r w:rsidR="003D2C97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год, с учетом внесенных изменений, предусмотрены в объеме </w:t>
      </w:r>
      <w:r w:rsidR="003D2C97"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24162,1</w:t>
      </w:r>
      <w:r w:rsidRPr="00813F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рублей.</w:t>
      </w:r>
    </w:p>
    <w:p w:rsidR="0074103A" w:rsidRPr="0074103A" w:rsidRDefault="0074103A" w:rsidP="00813FB8">
      <w:pPr>
        <w:tabs>
          <w:tab w:val="left" w:pos="709"/>
        </w:tabs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Расходование средств Дорожного фонда кратко отражено в пояснительной записке представленного  Отчета об исполнении бюджета </w:t>
      </w:r>
      <w:r w:rsidR="003D2C9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округа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за 202</w:t>
      </w:r>
      <w:r w:rsidR="003D2C9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год.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Расходы Дорожного фонда утверждены в объеме </w:t>
      </w:r>
      <w:r w:rsidR="003D2C9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24162,1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рублей, исполнены в объеме </w:t>
      </w:r>
      <w:r w:rsidR="003D2C9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23636,2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рублей, или на </w:t>
      </w:r>
      <w:r w:rsidR="003D2C9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97,8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% к бюджетным ассигнованиям. В 202</w:t>
      </w:r>
      <w:r w:rsidR="003D2C9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году средства дорожного фонда  направлены  на: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финансовое обеспечение реализации муниципальной программы «Развитие сети автомобильных дорог на территории Чагодощенского муниципального </w:t>
      </w:r>
      <w:r w:rsidR="003D2C9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202</w:t>
      </w:r>
      <w:r w:rsidR="003D2C9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-202</w:t>
      </w:r>
      <w:r w:rsidR="003D2C9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годы» в сумме </w:t>
      </w:r>
      <w:r w:rsidR="003D2C9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23636,2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при плане </w:t>
      </w:r>
      <w:r w:rsidR="003D2C9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24161,9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 или </w:t>
      </w:r>
      <w:r w:rsidR="003D2C9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97,8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%;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содержание межпоселенческих дорог и мостов в сумме </w:t>
      </w:r>
      <w:r w:rsidR="003D2C97">
        <w:rPr>
          <w:rFonts w:ascii="Times New Roman" w:eastAsia="Times New Roman" w:hAnsi="Times New Roman" w:cs="Times New Roman"/>
          <w:sz w:val="28"/>
          <w:szCs w:val="28"/>
          <w:lang w:eastAsia="ar-SA"/>
        </w:rPr>
        <w:t>1291,5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 -</w:t>
      </w:r>
      <w:r w:rsidR="003D2C97">
        <w:rPr>
          <w:rFonts w:ascii="Times New Roman" w:eastAsia="Times New Roman" w:hAnsi="Times New Roman" w:cs="Times New Roman"/>
          <w:sz w:val="28"/>
          <w:szCs w:val="28"/>
          <w:lang w:eastAsia="ar-SA"/>
        </w:rPr>
        <w:t>99,9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от утвержденных назначений;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содержание автомобильных дорог общего пользования в границах населенных пунктов – </w:t>
      </w:r>
      <w:r w:rsidR="003D2C97">
        <w:rPr>
          <w:rFonts w:ascii="Times New Roman" w:eastAsia="Times New Roman" w:hAnsi="Times New Roman" w:cs="Times New Roman"/>
          <w:sz w:val="28"/>
          <w:szCs w:val="28"/>
          <w:lang w:eastAsia="ar-SA"/>
        </w:rPr>
        <w:t>4905,3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 -</w:t>
      </w:r>
      <w:r w:rsidR="003D2C97">
        <w:rPr>
          <w:rFonts w:ascii="Times New Roman" w:eastAsia="Times New Roman" w:hAnsi="Times New Roman" w:cs="Times New Roman"/>
          <w:sz w:val="28"/>
          <w:szCs w:val="28"/>
          <w:lang w:eastAsia="ar-SA"/>
        </w:rPr>
        <w:t>96,6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утвержденных назначений;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приведение в нормативное состояние автомобильных дорог общего пользования местного значения – </w:t>
      </w:r>
      <w:r w:rsidR="002A6603">
        <w:rPr>
          <w:rFonts w:ascii="Times New Roman" w:eastAsia="Times New Roman" w:hAnsi="Times New Roman" w:cs="Times New Roman"/>
          <w:sz w:val="28"/>
          <w:szCs w:val="28"/>
          <w:lang w:eastAsia="ar-SA"/>
        </w:rPr>
        <w:t>10807,3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или 96,</w:t>
      </w:r>
      <w:r w:rsidR="003D2C9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2A6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утвержденных назначений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софинансирование мероприятий, осуществляемых за счет средств областного бюджета – </w:t>
      </w:r>
      <w:r w:rsidR="002A6603">
        <w:rPr>
          <w:rFonts w:ascii="Times New Roman" w:eastAsia="Times New Roman" w:hAnsi="Times New Roman" w:cs="Times New Roman"/>
          <w:sz w:val="28"/>
          <w:szCs w:val="28"/>
          <w:lang w:eastAsia="ar-SA"/>
        </w:rPr>
        <w:t>380,1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средств областного бюджета в сумме </w:t>
      </w:r>
      <w:r w:rsidR="002A6603">
        <w:rPr>
          <w:rFonts w:ascii="Times New Roman" w:eastAsia="Times New Roman" w:hAnsi="Times New Roman" w:cs="Times New Roman"/>
          <w:sz w:val="28"/>
          <w:szCs w:val="28"/>
          <w:lang w:eastAsia="ar-SA"/>
        </w:rPr>
        <w:t>6252,0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 отражены расходы: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 осуществление дорожной деятельности в отношении автомобильных дорог общего пользования местного значения в сумме  </w:t>
      </w:r>
      <w:r w:rsidR="002A6603">
        <w:rPr>
          <w:rFonts w:ascii="Times New Roman" w:eastAsia="Times New Roman" w:hAnsi="Times New Roman" w:cs="Times New Roman"/>
          <w:sz w:val="28"/>
          <w:szCs w:val="28"/>
          <w:lang w:eastAsia="ar-SA"/>
        </w:rPr>
        <w:t>5392,0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 или 100,0% от плана,  </w:t>
      </w:r>
    </w:p>
    <w:p w:rsidR="002A6603" w:rsidRDefault="0074103A" w:rsidP="002A6603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обеспечение подъездов к земе</w:t>
      </w:r>
      <w:r w:rsidR="002A6603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льным участкам, предоставляемым</w:t>
      </w:r>
    </w:p>
    <w:p w:rsidR="0074103A" w:rsidRPr="0074103A" w:rsidRDefault="0074103A" w:rsidP="002A6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отдельным категориям граждан – </w:t>
      </w:r>
      <w:r w:rsidR="002A6603">
        <w:rPr>
          <w:rFonts w:ascii="Times New Roman" w:eastAsia="Times New Roman" w:hAnsi="Times New Roman" w:cs="Times New Roman"/>
          <w:sz w:val="28"/>
          <w:szCs w:val="28"/>
          <w:lang w:eastAsia="ar-SA"/>
        </w:rPr>
        <w:t>841,2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</w:t>
      </w:r>
      <w:r w:rsidR="002A6603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100,0% от плана.</w:t>
      </w:r>
      <w:r w:rsidR="002A6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   - дополнительно на обеспечение подъездов к земельным участкам, предоставляемым отдельным категориям граждан из бюджета округа 18,8 тыс.руб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4103A" w:rsidRPr="0074103A" w:rsidRDefault="0074103A" w:rsidP="0074103A">
      <w:pPr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Остаток средств дорожного фона на конец отчетного периода составил </w:t>
      </w:r>
      <w:r w:rsidR="0098763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525,9</w:t>
      </w:r>
      <w:r w:rsidRPr="0074103A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тыс. рублей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. </w:t>
      </w:r>
    </w:p>
    <w:p w:rsidR="0074103A" w:rsidRPr="0074103A" w:rsidRDefault="0074103A" w:rsidP="007410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03A" w:rsidRPr="009E7707" w:rsidRDefault="0074103A" w:rsidP="007410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E7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5.5  </w:t>
      </w:r>
      <w:r w:rsidRPr="009E770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Анализ расходов на исполнение публичных нормативных обязательств.</w:t>
      </w:r>
    </w:p>
    <w:p w:rsidR="0074103A" w:rsidRPr="008739F5" w:rsidRDefault="0074103A" w:rsidP="0074103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Calibri" w:eastAsia="Times New Roman" w:hAnsi="Calibri" w:cs="Calibri"/>
          <w:color w:val="FF0000"/>
          <w:highlight w:val="yellow"/>
          <w:lang w:eastAsia="ru-RU"/>
        </w:rPr>
      </w:pPr>
    </w:p>
    <w:p w:rsidR="0074103A" w:rsidRPr="009E7707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F5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    </w:t>
      </w:r>
      <w:r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Решением о бюджете на 202</w:t>
      </w:r>
      <w:r w:rsidR="00344B4D"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первоначально объем бюджетных ассигнований, направляемых на исполнение публичных нормативных обязательств, утвержден в сумме </w:t>
      </w:r>
      <w:r w:rsidR="00B0386C"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7509,4</w:t>
      </w:r>
      <w:r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рублей. В течение отчетного периода бюджетные ассигнования уменьшены на </w:t>
      </w:r>
      <w:r w:rsidR="00B0386C"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698,3</w:t>
      </w:r>
      <w:r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рублей, или на </w:t>
      </w:r>
      <w:r w:rsidR="00B0386C"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9,2</w:t>
      </w:r>
      <w:r w:rsidRPr="00B038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038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 </w:t>
      </w:r>
      <w:r w:rsidR="00B0386C"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6811,1</w:t>
      </w:r>
      <w:r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тыс. рублей. Объемы бюджетных ассигнований направленных на исполнение публичных нормативн</w:t>
      </w:r>
      <w:r w:rsidR="00B0386C"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ых расходных обязательств в 2023</w:t>
      </w:r>
      <w:r w:rsidRPr="00B038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предусмотрены по </w:t>
      </w:r>
      <w:r w:rsidRPr="009E77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разделу расходов бюджета</w:t>
      </w:r>
      <w:r w:rsidR="00B0386C" w:rsidRPr="009E77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</w:t>
      </w:r>
      <w:r w:rsidRPr="009E77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E77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77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Социальная политика</w:t>
      </w:r>
      <w:r w:rsidRPr="009E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4103A" w:rsidRPr="009E7707" w:rsidRDefault="0074103A" w:rsidP="009E770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E77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Исполнение составило </w:t>
      </w:r>
      <w:r w:rsidR="009E7707" w:rsidRPr="009E77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6591,3</w:t>
      </w:r>
      <w:r w:rsidRPr="009E77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 или 9</w:t>
      </w:r>
      <w:r w:rsidR="009E7707" w:rsidRPr="009E77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</w:t>
      </w:r>
      <w:r w:rsidRPr="009E77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  <w:r w:rsidR="009E7707" w:rsidRPr="009E77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8</w:t>
      </w:r>
      <w:r w:rsidRPr="009E77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% к утвержденным назначениям. В структуре общих расходов бюджета</w:t>
      </w:r>
      <w:r w:rsidR="009E7707" w:rsidRPr="009E77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округа</w:t>
      </w:r>
      <w:r w:rsidRPr="009E770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расходные обязательства на исполнение публичных нормативных обязательств составили 0,7 %.</w:t>
      </w:r>
    </w:p>
    <w:p w:rsidR="0074103A" w:rsidRPr="009E7707" w:rsidRDefault="0074103A" w:rsidP="009E7707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9E770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Расходы осуществлялись </w:t>
      </w:r>
      <w:r w:rsidR="009E770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шестью</w:t>
      </w:r>
      <w:r w:rsidRPr="009E770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главными администраторами:</w:t>
      </w:r>
    </w:p>
    <w:p w:rsidR="0074103A" w:rsidRDefault="0074103A" w:rsidP="009E7707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9E770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-</w:t>
      </w:r>
      <w:r w:rsidR="00616EBE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</w:t>
      </w:r>
      <w:r w:rsidR="009E770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Первомайское территориальное управление администрации Чагодощенского муниципального округа;</w:t>
      </w:r>
    </w:p>
    <w:p w:rsidR="009E7707" w:rsidRDefault="009E7707" w:rsidP="009E7707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-</w:t>
      </w:r>
      <w:r w:rsidR="00616EBE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Белокрестское территориальное управление администрации Чагодощенского муниципального округа;</w:t>
      </w:r>
    </w:p>
    <w:p w:rsidR="009E7707" w:rsidRDefault="009E7707" w:rsidP="009E7707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- Чагодское территориальное управление администрации Чагодощенского муниципального округа;</w:t>
      </w:r>
    </w:p>
    <w:p w:rsidR="009E7707" w:rsidRDefault="009E7707" w:rsidP="009E7707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-Сазоновское территориальное управление администрации Чагодощенского муниципального округа;</w:t>
      </w:r>
    </w:p>
    <w:p w:rsidR="009E7707" w:rsidRDefault="009E7707" w:rsidP="009E7707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- Администрации Чагодощенского муниципального округа;</w:t>
      </w:r>
    </w:p>
    <w:p w:rsidR="009E7707" w:rsidRDefault="009E7707" w:rsidP="009E7707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- Управление образование администрации Чагодощенского муниципального округа.</w:t>
      </w:r>
    </w:p>
    <w:p w:rsidR="00E41D32" w:rsidRDefault="00E41D32" w:rsidP="0074103A">
      <w:pPr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03A" w:rsidRPr="000970FC" w:rsidRDefault="0074103A" w:rsidP="0074103A">
      <w:pPr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Исполнение программной части бюджета</w:t>
      </w:r>
    </w:p>
    <w:p w:rsidR="0074103A" w:rsidRPr="0074103A" w:rsidRDefault="0074103A" w:rsidP="007410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66A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на территории </w:t>
      </w:r>
      <w:r w:rsidR="00FD7D85" w:rsidRPr="00097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9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</w:t>
      </w:r>
      <w:r w:rsidRPr="00097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6A3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овалась</w:t>
      </w:r>
      <w:r w:rsidRPr="0009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A3F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</w:t>
      </w:r>
      <w:r w:rsidRPr="000970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97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4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т.ч. 25 муниципальных программ с финансовым обеспечением и 3 муниципальные программы без финансового обеспечения)</w:t>
      </w:r>
      <w:r w:rsidRPr="0009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социально-экономическое развитие </w:t>
      </w:r>
      <w:r w:rsidR="00FD7D85"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разработанных в соответствии с постановлением администрации Чагодощенского муниципального района от </w:t>
      </w:r>
      <w:r w:rsidR="00650204"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50204"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50204"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50204"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разработки, реализации и оценке эффективности муниципальных программ Чагодощенского </w:t>
      </w:r>
      <w:r w:rsidR="00650204"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50204"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етодических указаний по разработке и реализации муниципальных программ Чагодощенского </w:t>
      </w:r>
      <w:r w:rsidR="00650204"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0204"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50204"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107</w:t>
      </w:r>
      <w:r w:rsidR="00650204"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Pr="0065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Чагодощенского муниципального района </w:t>
      </w:r>
      <w:r w:rsidR="00FD7D8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D8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D7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D7D85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74103A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перечне муниципальных программ, принимаемых к реализации в 202</w:t>
      </w:r>
      <w:r w:rsidR="00FD7D8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4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</w:t>
      </w:r>
      <w:r w:rsidR="00FD7D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 них в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 w:rsidR="00F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финансирование на реализацию </w:t>
      </w:r>
      <w:r w:rsidR="00FD7D8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программы. В результате внесенных изменений исполнение осуществлено по </w:t>
      </w:r>
      <w:r w:rsidR="00FD7D8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    Первонач</w:t>
      </w:r>
      <w:r w:rsidR="00FD7D85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ально решением о бюджете на </w:t>
      </w:r>
      <w:r w:rsidR="00FD7D85" w:rsidRPr="00D078F8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2023</w:t>
      </w:r>
      <w:r w:rsidRPr="00D078F8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год расходы на реализацию муниципальных программ были предусмотрены в сумме </w:t>
      </w:r>
      <w:r w:rsidR="005E653D" w:rsidRPr="00D078F8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1011876,1</w:t>
      </w:r>
      <w:r w:rsidRPr="00D078F8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D078F8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тыс. рублей или </w:t>
      </w:r>
      <w:r w:rsidR="005E653D" w:rsidRPr="00D078F8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99,5</w:t>
      </w:r>
      <w:r w:rsidRPr="00D078F8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% в общем объеме расходов. В ходе исполне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ния бюджета плановые назначения по программным расходам у</w:t>
      </w:r>
      <w:r w:rsidR="005E653D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меньшились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на </w:t>
      </w:r>
      <w:r w:rsidR="005E653D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7583,7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тыс. рублей или на </w:t>
      </w:r>
      <w:r w:rsidR="005E653D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0,8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% процента и составили </w:t>
      </w:r>
      <w:r w:rsidR="005E653D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1004292,4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тыс.рублей или </w:t>
      </w:r>
      <w:r w:rsidR="005E653D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99,3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% от утвержденного бюджета, что соответствует  сводной бюджетной росписи</w:t>
      </w:r>
      <w:r w:rsidR="005E653D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и ф.0503117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lastRenderedPageBreak/>
        <w:t xml:space="preserve">     Фактическое исполнение программных расходов за 202</w:t>
      </w:r>
      <w:r w:rsidR="005E653D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год сложилось в сумме </w:t>
      </w:r>
      <w:r w:rsidR="005E653D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985029,2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тыс. рублей, или </w:t>
      </w:r>
      <w:r w:rsidR="005E653D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98,1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% от утвержденных назначений, или </w:t>
      </w:r>
      <w:r w:rsidR="005E653D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99,4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% в общем объеме расходов</w:t>
      </w:r>
      <w:r w:rsidR="005E653D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.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left="-180" w:right="180" w:hanging="360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4103A">
        <w:rPr>
          <w:rFonts w:ascii="Times New Roman" w:eastAsia="Calibri" w:hAnsi="Times New Roman" w:cs="Courier New"/>
          <w:sz w:val="28"/>
          <w:szCs w:val="28"/>
        </w:rPr>
        <w:t xml:space="preserve">           По </w:t>
      </w:r>
      <w:r w:rsidR="005E653D">
        <w:rPr>
          <w:rFonts w:ascii="Times New Roman" w:eastAsia="Calibri" w:hAnsi="Times New Roman" w:cs="Courier New"/>
          <w:sz w:val="28"/>
          <w:szCs w:val="28"/>
        </w:rPr>
        <w:t xml:space="preserve">5 </w:t>
      </w:r>
      <w:r w:rsidRPr="0074103A">
        <w:rPr>
          <w:rFonts w:ascii="Times New Roman" w:eastAsia="Calibri" w:hAnsi="Times New Roman" w:cs="Courier New"/>
          <w:sz w:val="28"/>
          <w:szCs w:val="28"/>
        </w:rPr>
        <w:t>муниципальным программам бюджетные назначения исполнены в полном объеме т.е.100% исполнение, по 1</w:t>
      </w:r>
      <w:r w:rsidR="005E653D">
        <w:rPr>
          <w:rFonts w:ascii="Times New Roman" w:eastAsia="Calibri" w:hAnsi="Times New Roman" w:cs="Courier New"/>
          <w:sz w:val="28"/>
          <w:szCs w:val="28"/>
        </w:rPr>
        <w:t>4</w:t>
      </w:r>
      <w:r w:rsidRPr="0074103A">
        <w:rPr>
          <w:rFonts w:ascii="Times New Roman" w:eastAsia="Calibri" w:hAnsi="Times New Roman" w:cs="Courier New"/>
          <w:sz w:val="28"/>
          <w:szCs w:val="28"/>
        </w:rPr>
        <w:t xml:space="preserve"> муниципальным программам исполнение более 90%, по </w:t>
      </w:r>
      <w:r w:rsidR="005E653D">
        <w:rPr>
          <w:rFonts w:ascii="Times New Roman" w:eastAsia="Calibri" w:hAnsi="Times New Roman" w:cs="Courier New"/>
          <w:sz w:val="28"/>
          <w:szCs w:val="28"/>
        </w:rPr>
        <w:t xml:space="preserve">остальным 10 </w:t>
      </w:r>
      <w:r w:rsidRPr="0074103A">
        <w:rPr>
          <w:rFonts w:ascii="Times New Roman" w:eastAsia="Calibri" w:hAnsi="Times New Roman" w:cs="Courier New"/>
          <w:sz w:val="28"/>
          <w:szCs w:val="28"/>
        </w:rPr>
        <w:t xml:space="preserve">муниципальной программе процент исполнения составил </w:t>
      </w:r>
      <w:r w:rsidR="005E653D">
        <w:rPr>
          <w:rFonts w:ascii="Times New Roman" w:eastAsia="Calibri" w:hAnsi="Times New Roman" w:cs="Courier New"/>
          <w:sz w:val="28"/>
          <w:szCs w:val="28"/>
        </w:rPr>
        <w:t>от 65,4% и выше</w:t>
      </w:r>
      <w:r w:rsidR="00A67D65">
        <w:rPr>
          <w:rFonts w:ascii="Times New Roman" w:eastAsia="Calibri" w:hAnsi="Times New Roman" w:cs="Courier New"/>
          <w:sz w:val="28"/>
          <w:szCs w:val="28"/>
        </w:rPr>
        <w:t>.</w:t>
      </w:r>
    </w:p>
    <w:p w:rsidR="0074103A" w:rsidRDefault="0074103A" w:rsidP="0074103A">
      <w:pPr>
        <w:autoSpaceDE w:val="0"/>
        <w:autoSpaceDN w:val="0"/>
        <w:adjustRightInd w:val="0"/>
        <w:spacing w:after="0" w:line="240" w:lineRule="auto"/>
        <w:ind w:left="-180" w:right="180" w:hanging="360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4103A">
        <w:rPr>
          <w:rFonts w:ascii="Times New Roman CYR" w:eastAsia="Calibri" w:hAnsi="Times New Roman CYR" w:cs="Times New Roman CYR"/>
          <w:sz w:val="28"/>
          <w:szCs w:val="28"/>
          <w:highlight w:val="white"/>
        </w:rPr>
        <w:t xml:space="preserve">           Объем неисполненных назначений по программам составил</w:t>
      </w:r>
      <w:r w:rsidR="00A67D65">
        <w:rPr>
          <w:rFonts w:ascii="Times New Roman CYR" w:eastAsia="Calibri" w:hAnsi="Times New Roman CYR" w:cs="Times New Roman CYR"/>
          <w:sz w:val="28"/>
          <w:szCs w:val="28"/>
          <w:highlight w:val="white"/>
        </w:rPr>
        <w:t xml:space="preserve"> 19263,2</w:t>
      </w:r>
      <w:r w:rsidRPr="0074103A">
        <w:rPr>
          <w:rFonts w:ascii="Times New Roman" w:eastAsia="Calibri" w:hAnsi="Times New Roman" w:cs="Courier New"/>
          <w:sz w:val="28"/>
          <w:szCs w:val="28"/>
          <w:highlight w:val="white"/>
          <w:lang w:val="en-US"/>
        </w:rPr>
        <w:t> </w:t>
      </w:r>
      <w:r w:rsidRPr="0074103A">
        <w:rPr>
          <w:rFonts w:ascii="Times New Roman CYR" w:eastAsia="Calibri" w:hAnsi="Times New Roman CYR" w:cs="Times New Roman CYR"/>
          <w:sz w:val="28"/>
          <w:szCs w:val="28"/>
          <w:highlight w:val="white"/>
        </w:rPr>
        <w:t>тыс. рублей или 1,</w:t>
      </w:r>
      <w:r w:rsidR="00A67D65">
        <w:rPr>
          <w:rFonts w:ascii="Times New Roman CYR" w:eastAsia="Calibri" w:hAnsi="Times New Roman CYR" w:cs="Times New Roman CYR"/>
          <w:sz w:val="28"/>
          <w:szCs w:val="28"/>
          <w:highlight w:val="white"/>
        </w:rPr>
        <w:t>9</w:t>
      </w:r>
      <w:r w:rsidRPr="0074103A">
        <w:rPr>
          <w:rFonts w:ascii="Times New Roman CYR" w:eastAsia="Calibri" w:hAnsi="Times New Roman CYR" w:cs="Times New Roman CYR"/>
          <w:sz w:val="28"/>
          <w:szCs w:val="28"/>
          <w:highlight w:val="white"/>
        </w:rPr>
        <w:t xml:space="preserve"> % от утвержденных бюджетных назначений. </w:t>
      </w:r>
      <w:r w:rsidRPr="0074103A">
        <w:rPr>
          <w:rFonts w:ascii="Times New Roman CYR" w:eastAsia="Calibri" w:hAnsi="Times New Roman CYR" w:cs="Times New Roman CYR"/>
          <w:sz w:val="28"/>
          <w:szCs w:val="28"/>
        </w:rPr>
        <w:t>(</w:t>
      </w:r>
      <w:r w:rsidRPr="0074103A">
        <w:rPr>
          <w:rFonts w:ascii="Times New Roman" w:eastAsia="Calibri" w:hAnsi="Times New Roman" w:cs="Courier New"/>
          <w:sz w:val="28"/>
          <w:szCs w:val="28"/>
        </w:rPr>
        <w:t>Таблица 1</w:t>
      </w:r>
      <w:r w:rsidR="00A67D65">
        <w:rPr>
          <w:rFonts w:ascii="Times New Roman" w:eastAsia="Calibri" w:hAnsi="Times New Roman" w:cs="Courier New"/>
          <w:sz w:val="28"/>
          <w:szCs w:val="28"/>
        </w:rPr>
        <w:t>7</w:t>
      </w:r>
      <w:r w:rsidRPr="0074103A">
        <w:rPr>
          <w:rFonts w:ascii="Times New Roman" w:eastAsia="Calibri" w:hAnsi="Times New Roman" w:cs="Courier New"/>
          <w:sz w:val="28"/>
          <w:szCs w:val="28"/>
        </w:rPr>
        <w:t>) .</w:t>
      </w:r>
    </w:p>
    <w:p w:rsidR="00A67D65" w:rsidRPr="0074103A" w:rsidRDefault="00A67D65" w:rsidP="0074103A">
      <w:pPr>
        <w:autoSpaceDE w:val="0"/>
        <w:autoSpaceDN w:val="0"/>
        <w:adjustRightInd w:val="0"/>
        <w:spacing w:after="0" w:line="240" w:lineRule="auto"/>
        <w:ind w:left="-180" w:right="180" w:hanging="360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74103A" w:rsidRDefault="0074103A" w:rsidP="0074103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410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Таблица № 1</w:t>
      </w:r>
      <w:r w:rsidR="005E65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</w:t>
      </w:r>
      <w:r w:rsidRPr="007410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(тыс. рублей)</w:t>
      </w:r>
    </w:p>
    <w:tbl>
      <w:tblPr>
        <w:tblW w:w="10183" w:type="dxa"/>
        <w:tblInd w:w="96" w:type="dxa"/>
        <w:tblLook w:val="04A0"/>
      </w:tblPr>
      <w:tblGrid>
        <w:gridCol w:w="470"/>
        <w:gridCol w:w="2646"/>
        <w:gridCol w:w="1434"/>
        <w:gridCol w:w="1434"/>
        <w:gridCol w:w="973"/>
        <w:gridCol w:w="979"/>
        <w:gridCol w:w="1200"/>
        <w:gridCol w:w="1047"/>
      </w:tblGrid>
      <w:tr w:rsidR="005E653D" w:rsidRPr="005E653D" w:rsidTr="00466A73">
        <w:trPr>
          <w:trHeight w:val="780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_GoBack"/>
            <w:bookmarkEnd w:id="2"/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 рещением Представительного Собрания 22.12.2022 № 61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 рещением Представительного Собранияъ 28.12.2023 № 103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Отклонения в %</w:t>
            </w:r>
          </w:p>
        </w:tc>
        <w:tc>
          <w:tcPr>
            <w:tcW w:w="31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год </w:t>
            </w:r>
          </w:p>
        </w:tc>
      </w:tr>
      <w:tr w:rsidR="005E653D" w:rsidRPr="005E653D" w:rsidTr="00466A73">
        <w:trPr>
          <w:trHeight w:val="648"/>
        </w:trPr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к утвержденному бюджету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E653D" w:rsidRPr="005E653D" w:rsidTr="00466A73">
        <w:trPr>
          <w:trHeight w:val="84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Чагодощенском муниципальном округе на 2023 - 2025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73339,1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78145,3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72469,7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-5675,6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92,7%</w:t>
            </w:r>
          </w:p>
        </w:tc>
      </w:tr>
      <w:tr w:rsidR="005E653D" w:rsidRPr="005E653D" w:rsidTr="00466A73">
        <w:trPr>
          <w:trHeight w:val="684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муниципальными финансами Чагодощенского муниципального округа на 2023-2029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9 208,40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11 313,80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22,9%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11 313,80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5E653D" w:rsidRPr="005E653D" w:rsidTr="00466A73">
        <w:trPr>
          <w:trHeight w:val="768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кадрового потенциала в  Чагодощенском округе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1 874,10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94,2%</w:t>
            </w:r>
          </w:p>
        </w:tc>
      </w:tr>
      <w:tr w:rsidR="005E653D" w:rsidRPr="005E653D" w:rsidTr="00466A73">
        <w:trPr>
          <w:trHeight w:val="648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"Содействие занятости населения Чагодощенского муниципального округа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70,1%</w:t>
            </w:r>
          </w:p>
        </w:tc>
      </w:tr>
      <w:tr w:rsidR="005E653D" w:rsidRPr="005E653D" w:rsidTr="00466A73">
        <w:trPr>
          <w:trHeight w:val="996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"Совершенствование системы управления и распоряжения земельно-имущественным комплексом Чагодощенского муниципального округа на 2023-2027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10139,4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12 239,30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11 512,50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94,1%</w:t>
            </w:r>
          </w:p>
        </w:tc>
      </w:tr>
      <w:tr w:rsidR="005E653D" w:rsidRPr="005E653D" w:rsidTr="00466A73">
        <w:trPr>
          <w:trHeight w:val="936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"Обеспечение профилактики правонарушений, безопасности населения и территории Чагодощенского муниципального округа в 2023-2026 годах"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1919,4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1653,4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-897,6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64,8%</w:t>
            </w:r>
          </w:p>
        </w:tc>
      </w:tr>
      <w:tr w:rsidR="005E653D" w:rsidRPr="005E653D" w:rsidTr="00466A73">
        <w:trPr>
          <w:trHeight w:val="876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сферы информационных технологий в администрации Чагодощенского муниципального округа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452,80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97,4%</w:t>
            </w:r>
          </w:p>
        </w:tc>
      </w:tr>
      <w:tr w:rsidR="005E653D" w:rsidRPr="005E653D" w:rsidTr="00466A73">
        <w:trPr>
          <w:trHeight w:val="1032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"Охрана окружающей среды, воспроизводство и рациональное использование природных ресурсов Чагодощенского муниципального округа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21759,5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-99,5%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45,5%</w:t>
            </w:r>
          </w:p>
        </w:tc>
      </w:tr>
      <w:tr w:rsidR="005E653D" w:rsidRPr="005E653D" w:rsidTr="00466A73">
        <w:trPr>
          <w:trHeight w:val="912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сети автомобильных дорог местного значения на территории Чагодощенского муниципального округа на 2023 - 2025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28481,9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27956,2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-525,7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98,2%</w:t>
            </w:r>
          </w:p>
        </w:tc>
      </w:tr>
      <w:tr w:rsidR="005E653D" w:rsidRPr="005E653D" w:rsidTr="00466A73">
        <w:trPr>
          <w:trHeight w:val="84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жилищно-коммунального хозяйства Чагодощенского муниципального округа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13072,9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76523,5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485,4%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75035,8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-1487,7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98,1%</w:t>
            </w:r>
          </w:p>
        </w:tc>
      </w:tr>
      <w:tr w:rsidR="005E653D" w:rsidRPr="005E653D" w:rsidTr="00466A73">
        <w:trPr>
          <w:trHeight w:val="84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 в Чагодощенском муниципальном округе на 2019-2025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415 575,50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315 046,40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-24,2%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314 383,80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-662,6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99,8%</w:t>
            </w:r>
          </w:p>
        </w:tc>
      </w:tr>
      <w:tr w:rsidR="005E653D" w:rsidRPr="005E653D" w:rsidTr="00466A73">
        <w:trPr>
          <w:trHeight w:val="792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 Проект"народный бюджет" Чагодощенского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24 328,50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21 275,40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-3053,1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87,5%</w:t>
            </w:r>
          </w:p>
        </w:tc>
      </w:tr>
      <w:tr w:rsidR="005E653D" w:rsidRPr="005E653D" w:rsidTr="00466A73">
        <w:trPr>
          <w:trHeight w:val="72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на территории Чагодощенского муниципального округа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26 399,70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33 656,50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27,5%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32 072,30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-1584,2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95,3%</w:t>
            </w:r>
          </w:p>
        </w:tc>
      </w:tr>
      <w:tr w:rsidR="005E653D" w:rsidRPr="005E653D" w:rsidTr="00466A73">
        <w:trPr>
          <w:trHeight w:val="876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МУ "МФЦ" Чагодощенского муниципального округа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13 243,00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16 510,40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16 510,40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5E653D" w:rsidRPr="005E653D" w:rsidTr="00466A73">
        <w:trPr>
          <w:trHeight w:val="84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Единой дежурно-диспетчерской службы Чагодощенского муниципального округа" на 2023-2025 годы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5E653D" w:rsidRPr="005E653D" w:rsidTr="00466A73">
        <w:trPr>
          <w:trHeight w:val="852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Чагодощенского муниципального округа на 2023-2025 г"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300 925,30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293 062,70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-2,6%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292 351,30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-711,4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99,8%</w:t>
            </w:r>
          </w:p>
        </w:tc>
      </w:tr>
      <w:tr w:rsidR="005E653D" w:rsidRPr="005E653D" w:rsidTr="00466A73">
        <w:trPr>
          <w:trHeight w:val="828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Чагодощенском муниципальном округе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8 217,10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8 268,60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99,8%</w:t>
            </w:r>
          </w:p>
        </w:tc>
      </w:tr>
      <w:tr w:rsidR="005E653D" w:rsidRPr="005E653D" w:rsidTr="00466A73">
        <w:trPr>
          <w:trHeight w:val="9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культурного потенциала  Чагодощенского муниципального округа на 2023-2025 годы"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78 649,60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79 477,80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79 429,20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99,9%</w:t>
            </w:r>
          </w:p>
        </w:tc>
      </w:tr>
      <w:tr w:rsidR="005E653D" w:rsidRPr="005E653D" w:rsidTr="00466A73">
        <w:trPr>
          <w:trHeight w:val="792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"Реализация молодёжной политики в Чагодощенском муниципальном округе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614,70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92,2%</w:t>
            </w:r>
          </w:p>
        </w:tc>
      </w:tr>
      <w:tr w:rsidR="005E653D" w:rsidRPr="005E653D" w:rsidTr="00466A73">
        <w:trPr>
          <w:trHeight w:val="84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поддержка граждан Чагодощенского муниципального округа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16 962,20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13 486,60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-3475,6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79,5%</w:t>
            </w:r>
          </w:p>
        </w:tc>
      </w:tr>
      <w:tr w:rsidR="005E653D" w:rsidRPr="005E653D" w:rsidTr="00466A73">
        <w:trPr>
          <w:trHeight w:val="804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"Энергосбережение и повышение энергетической эффективности в Чагодощенском муниципальном округе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97,1%</w:t>
            </w:r>
          </w:p>
        </w:tc>
      </w:tr>
      <w:tr w:rsidR="005E653D" w:rsidRPr="005E653D" w:rsidTr="00466A73">
        <w:trPr>
          <w:trHeight w:val="972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"Обеспечение жильем молодых семей в Чагодощенском муниципальном округе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246,2%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5E653D" w:rsidRPr="005E653D" w:rsidTr="00466A73">
        <w:trPr>
          <w:trHeight w:val="84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территорий Чагодощенского муниципального округа Вологодской области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-94,1%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5E653D" w:rsidRPr="005E653D" w:rsidTr="00466A73">
        <w:trPr>
          <w:trHeight w:val="912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малого и среднего предпринимательства в Чагодощенском муниципальном округе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95,1%</w:t>
            </w:r>
          </w:p>
        </w:tc>
      </w:tr>
      <w:tr w:rsidR="005E653D" w:rsidRPr="005E653D" w:rsidTr="00466A73">
        <w:trPr>
          <w:trHeight w:val="6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"Снижение заболеваемости ВИЧ-инфекцией на территории Чагодощенского муниципального округа на 2023-2025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65,4%</w:t>
            </w:r>
          </w:p>
        </w:tc>
      </w:tr>
      <w:tr w:rsidR="005E653D" w:rsidRPr="005E653D" w:rsidTr="00466A73">
        <w:trPr>
          <w:trHeight w:val="3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653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1 011 876,10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1 004 292,40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-0,7%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985 029,20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-19263,2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E653D" w:rsidRPr="005E653D" w:rsidRDefault="005E653D" w:rsidP="005E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6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98,1%</w:t>
            </w:r>
          </w:p>
        </w:tc>
      </w:tr>
    </w:tbl>
    <w:p w:rsidR="00466A73" w:rsidRDefault="00466A73" w:rsidP="00466A7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Согласно пункту 3 статьи 179 БК РФ по каждой программе необходимо ежегодно проводить оценку эффективности ее реализации. Порядок проведения указанной оценки и ее критерии устанавливаются местной администрацией муниципального образования.</w:t>
      </w:r>
    </w:p>
    <w:p w:rsidR="003D2A65" w:rsidRDefault="00650204" w:rsidP="00466A7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541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на основе Методики оценки эффективности реализации муниципальной программы Чагод</w:t>
      </w:r>
      <w:r w:rsidR="003E5411" w:rsidRPr="003E5411">
        <w:rPr>
          <w:rFonts w:ascii="Times New Roman" w:hAnsi="Times New Roman" w:cs="Times New Roman"/>
          <w:sz w:val="28"/>
          <w:szCs w:val="28"/>
        </w:rPr>
        <w:t>ощенского муниципального округа (приложение 2)</w:t>
      </w:r>
      <w:r w:rsidR="003E5411">
        <w:rPr>
          <w:rFonts w:ascii="Times New Roman" w:hAnsi="Times New Roman" w:cs="Times New Roman"/>
          <w:sz w:val="28"/>
          <w:szCs w:val="28"/>
        </w:rPr>
        <w:t>.</w:t>
      </w:r>
    </w:p>
    <w:p w:rsidR="003E5411" w:rsidRDefault="003E5411" w:rsidP="00466A7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541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производится путем сравнения каждого фактически достигнутого показателя за соответствующий год с его прогнозным значением, утвержденным муниципальной программой. Эффективность реализации муниципальной программы оценивается как степень фактического достижения целевого показателя по формуле:</w:t>
      </w:r>
    </w:p>
    <w:p w:rsidR="003E5411" w:rsidRDefault="003E5411" w:rsidP="00466A7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</w:pPr>
    </w:p>
    <w:p w:rsidR="003E5411" w:rsidRPr="003E5411" w:rsidRDefault="00505C42" w:rsidP="00505C42">
      <w:pPr>
        <w:shd w:val="clear" w:color="auto" w:fill="FFFFFF"/>
        <w:suppressAutoHyphens/>
        <w:autoSpaceDN w:val="0"/>
        <w:spacing w:after="0" w:line="16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Пф</w:t>
      </w:r>
    </w:p>
    <w:p w:rsidR="00505C42" w:rsidRDefault="00505C42" w:rsidP="00505C42">
      <w:pPr>
        <w:shd w:val="clear" w:color="auto" w:fill="FFFFFF"/>
        <w:suppressAutoHyphens/>
        <w:autoSpaceDN w:val="0"/>
        <w:spacing w:after="0" w:line="16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Е=      </w:t>
      </w:r>
      <w:r w:rsidR="003E5411" w:rsidRPr="003E5411">
        <w:rPr>
          <w:rFonts w:ascii="Times New Roman" w:hAnsi="Times New Roman" w:cs="Times New Roman"/>
          <w:sz w:val="28"/>
          <w:szCs w:val="28"/>
        </w:rPr>
        <w:t xml:space="preserve">--- </w:t>
      </w:r>
      <w:r>
        <w:rPr>
          <w:rFonts w:ascii="Times New Roman" w:hAnsi="Times New Roman" w:cs="Times New Roman"/>
          <w:sz w:val="28"/>
          <w:szCs w:val="28"/>
        </w:rPr>
        <w:t xml:space="preserve">  *100%</w:t>
      </w:r>
    </w:p>
    <w:p w:rsidR="00505C42" w:rsidRDefault="00505C42" w:rsidP="00505C42">
      <w:pPr>
        <w:shd w:val="clear" w:color="auto" w:fill="FFFFFF"/>
        <w:suppressAutoHyphens/>
        <w:autoSpaceDN w:val="0"/>
        <w:spacing w:after="0" w:line="16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Пн</w:t>
      </w:r>
    </w:p>
    <w:p w:rsidR="003E5411" w:rsidRPr="003E5411" w:rsidRDefault="003E5411" w:rsidP="000415C6">
      <w:pPr>
        <w:shd w:val="clear" w:color="auto" w:fill="FFFFFF"/>
        <w:tabs>
          <w:tab w:val="left" w:pos="322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5411">
        <w:rPr>
          <w:rFonts w:ascii="Times New Roman" w:hAnsi="Times New Roman" w:cs="Times New Roman"/>
          <w:sz w:val="28"/>
          <w:szCs w:val="28"/>
        </w:rPr>
        <w:t xml:space="preserve">где Е – эффективность реализации муниципальной программы (в процентах); </w:t>
      </w:r>
    </w:p>
    <w:p w:rsidR="003E5411" w:rsidRPr="003E5411" w:rsidRDefault="003E5411" w:rsidP="00466A7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5411">
        <w:rPr>
          <w:rFonts w:ascii="Times New Roman" w:hAnsi="Times New Roman" w:cs="Times New Roman"/>
          <w:sz w:val="28"/>
          <w:szCs w:val="28"/>
        </w:rPr>
        <w:t xml:space="preserve">Пф – фактический показатель, достигнутый в ходе реализации муниципальной программы; </w:t>
      </w:r>
    </w:p>
    <w:p w:rsidR="003E5411" w:rsidRDefault="003E5411" w:rsidP="00466A7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5411">
        <w:rPr>
          <w:rFonts w:ascii="Times New Roman" w:hAnsi="Times New Roman" w:cs="Times New Roman"/>
          <w:sz w:val="28"/>
          <w:szCs w:val="28"/>
        </w:rPr>
        <w:t>Пн - нормативный показатель, утвержденный муниципальной программой. Степень эффективности реализации муниципальной программы устанавливается согласно следующим интервалам значений показателя эффективности (Е):</w:t>
      </w:r>
    </w:p>
    <w:p w:rsidR="00505C42" w:rsidRPr="00505C42" w:rsidRDefault="00505C42" w:rsidP="00466A7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5C42">
        <w:rPr>
          <w:rFonts w:ascii="Times New Roman" w:hAnsi="Times New Roman" w:cs="Times New Roman"/>
          <w:sz w:val="28"/>
          <w:szCs w:val="28"/>
        </w:rPr>
        <w:t xml:space="preserve">Значение показателя Е </w:t>
      </w:r>
    </w:p>
    <w:p w:rsidR="00505C42" w:rsidRPr="00505C42" w:rsidRDefault="00505C42" w:rsidP="00466A7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5C42">
        <w:rPr>
          <w:rFonts w:ascii="Times New Roman" w:hAnsi="Times New Roman" w:cs="Times New Roman"/>
          <w:sz w:val="28"/>
          <w:szCs w:val="28"/>
        </w:rPr>
        <w:t>Программа эффективна 90 и более</w:t>
      </w:r>
    </w:p>
    <w:p w:rsidR="00505C42" w:rsidRPr="00505C42" w:rsidRDefault="00505C42" w:rsidP="00466A7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5C42">
        <w:rPr>
          <w:rFonts w:ascii="Times New Roman" w:hAnsi="Times New Roman" w:cs="Times New Roman"/>
          <w:sz w:val="28"/>
          <w:szCs w:val="28"/>
        </w:rPr>
        <w:t xml:space="preserve">Программа частично эффективна от 90 до 75 </w:t>
      </w:r>
    </w:p>
    <w:p w:rsidR="00505C42" w:rsidRPr="00466A73" w:rsidRDefault="00505C42" w:rsidP="00466A7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05C42">
        <w:rPr>
          <w:rFonts w:ascii="Times New Roman" w:hAnsi="Times New Roman" w:cs="Times New Roman"/>
          <w:sz w:val="28"/>
          <w:szCs w:val="28"/>
        </w:rPr>
        <w:t>Программа неэффективна менее 75</w:t>
      </w:r>
    </w:p>
    <w:p w:rsidR="00780BF8" w:rsidRPr="00780BF8" w:rsidRDefault="00466A73" w:rsidP="00780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>По информации, содержащейся в</w:t>
      </w:r>
      <w:r w:rsidR="003E541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сводном </w:t>
      </w:r>
      <w:r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годов</w:t>
      </w:r>
      <w:r w:rsidR="003E541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</w:t>
      </w:r>
      <w:r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отчет</w:t>
      </w:r>
      <w:r w:rsidR="003E541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</w:t>
      </w:r>
      <w:r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реализации муниципальных программ </w:t>
      </w:r>
      <w:r w:rsidR="003E541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</w:t>
      </w:r>
      <w:r w:rsidR="003E5411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 xml:space="preserve">Чагодощенском </w:t>
      </w:r>
      <w:r w:rsidRPr="00466A7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муниципально</w:t>
      </w:r>
      <w:r w:rsidR="003E5411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м</w:t>
      </w:r>
      <w:r w:rsidRPr="00466A7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 xml:space="preserve"> </w:t>
      </w:r>
      <w:r w:rsidR="003E5411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 xml:space="preserve">округе за 2023 размещенном на сайте Чагодощенского муниципального округа </w:t>
      </w:r>
      <w:hyperlink r:id="rId12" w:history="1">
        <w:r w:rsidR="008F3619" w:rsidRPr="005D7461">
          <w:rPr>
            <w:rStyle w:val="aff1"/>
            <w:rFonts w:ascii="Times New Roman" w:eastAsia="Times New Roman" w:hAnsi="Times New Roman" w:cs="Times New Roman"/>
            <w:kern w:val="3"/>
            <w:sz w:val="28"/>
            <w:szCs w:val="28"/>
            <w:lang w:eastAsia="zh-CN"/>
          </w:rPr>
          <w:t>https://35chagodoschenskij.gosuslugi.ru/</w:t>
        </w:r>
      </w:hyperlink>
      <w:r w:rsidR="0078703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,</w:t>
      </w:r>
      <w:r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78703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</w:t>
      </w:r>
      <w:r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огласно мониторингу эффективности исполнения муниципальных программ в 202</w:t>
      </w:r>
      <w:r w:rsidR="003E541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году эффективность</w:t>
      </w:r>
      <w:r w:rsidR="00780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реализации </w:t>
      </w:r>
      <w:r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780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="00EA03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</w:t>
      </w:r>
      <w:r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программ признана эффективной</w:t>
      </w:r>
      <w:r w:rsidR="00780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780BF8" w:rsidRPr="00780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(в т.ч.</w:t>
      </w:r>
      <w:r w:rsidR="00780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780BF8" w:rsidRPr="00780BF8">
        <w:rPr>
          <w:rFonts w:ascii="Times New Roman" w:hAnsi="Times New Roman" w:cs="Times New Roman"/>
          <w:sz w:val="28"/>
          <w:szCs w:val="28"/>
        </w:rPr>
        <w:t>2 муниципальные программы без финансового обеспечения</w:t>
      </w:r>
      <w:r w:rsidR="00780BF8">
        <w:rPr>
          <w:rFonts w:ascii="Times New Roman" w:hAnsi="Times New Roman" w:cs="Times New Roman"/>
          <w:sz w:val="28"/>
          <w:szCs w:val="28"/>
        </w:rPr>
        <w:t xml:space="preserve"> - </w:t>
      </w:r>
      <w:r w:rsidR="00780BF8" w:rsidRPr="00780BF8">
        <w:rPr>
          <w:rFonts w:ascii="Times New Roman" w:hAnsi="Times New Roman" w:cs="Times New Roman"/>
          <w:sz w:val="28"/>
          <w:szCs w:val="28"/>
        </w:rPr>
        <w:t>«Укрепление общественного здоровья в Чагодощенском муниципальном округе на 2023-2027 годы»</w:t>
      </w:r>
      <w:r w:rsidR="00780BF8">
        <w:rPr>
          <w:rFonts w:ascii="Times New Roman" w:hAnsi="Times New Roman" w:cs="Times New Roman"/>
          <w:sz w:val="28"/>
          <w:szCs w:val="28"/>
        </w:rPr>
        <w:t xml:space="preserve"> и</w:t>
      </w:r>
      <w:r w:rsidR="00780BF8" w:rsidRPr="00780BF8">
        <w:rPr>
          <w:rFonts w:ascii="Times New Roman" w:hAnsi="Times New Roman" w:cs="Times New Roman"/>
          <w:sz w:val="28"/>
          <w:szCs w:val="28"/>
        </w:rPr>
        <w:t xml:space="preserve"> «Обеспечение прав потребителей Чагодощенского муниципального округа Вологодской области на 2023-2025 годы»</w:t>
      </w:r>
      <w:r w:rsidR="00780BF8">
        <w:rPr>
          <w:rFonts w:ascii="Times New Roman" w:hAnsi="Times New Roman" w:cs="Times New Roman"/>
          <w:sz w:val="28"/>
          <w:szCs w:val="28"/>
        </w:rPr>
        <w:t>,</w:t>
      </w:r>
    </w:p>
    <w:p w:rsidR="00466A73" w:rsidRDefault="00780BF8" w:rsidP="00466A73">
      <w:pPr>
        <w:suppressAutoHyphens/>
        <w:autoSpaceDN w:val="0"/>
        <w:spacing w:after="0" w:line="240" w:lineRule="auto"/>
        <w:ind w:hanging="36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</w:t>
      </w:r>
      <w:r w:rsidR="00466A73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 </w:t>
      </w:r>
      <w:r w:rsidR="00EA03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="00466A73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муниципальным </w:t>
      </w:r>
      <w:r w:rsidR="00466A73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программам —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частично эффективна в т.ч:</w:t>
      </w:r>
    </w:p>
    <w:p w:rsidR="00780BF8" w:rsidRDefault="00780BF8" w:rsidP="00780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</w:t>
      </w:r>
      <w:r w:rsidRPr="00780BF8">
        <w:rPr>
          <w:rFonts w:ascii="Times New Roman" w:hAnsi="Times New Roman" w:cs="Times New Roman"/>
          <w:sz w:val="28"/>
          <w:szCs w:val="28"/>
        </w:rPr>
        <w:t>«Обеспечение профилактики правонарушений, безопасности населения и территории Чагодощенского муниципального округа в 2023-2026 годах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B86133" w:rsidRDefault="00780BF8" w:rsidP="00B8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F8">
        <w:rPr>
          <w:rFonts w:ascii="Times New Roman" w:hAnsi="Times New Roman" w:cs="Times New Roman"/>
          <w:sz w:val="28"/>
          <w:szCs w:val="28"/>
        </w:rPr>
        <w:t xml:space="preserve"> </w:t>
      </w:r>
      <w:r w:rsidR="00B86133" w:rsidRPr="00EA0385">
        <w:rPr>
          <w:rFonts w:ascii="Times New Roman" w:hAnsi="Times New Roman" w:cs="Times New Roman"/>
          <w:sz w:val="28"/>
          <w:szCs w:val="28"/>
        </w:rPr>
        <w:t>-</w:t>
      </w:r>
      <w:r w:rsidR="00DA4AFD" w:rsidRPr="00EA0385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Чагодощенского муниципального округа Вологодской области на 2023-2026годы</w:t>
      </w:r>
      <w:r w:rsidRPr="00EA0385">
        <w:rPr>
          <w:rFonts w:ascii="Times New Roman" w:hAnsi="Times New Roman" w:cs="Times New Roman"/>
          <w:sz w:val="28"/>
          <w:szCs w:val="28"/>
        </w:rPr>
        <w:t>»</w:t>
      </w:r>
      <w:r w:rsidR="00EA0385">
        <w:rPr>
          <w:rFonts w:ascii="Times New Roman" w:hAnsi="Times New Roman" w:cs="Times New Roman"/>
          <w:sz w:val="28"/>
          <w:szCs w:val="28"/>
        </w:rPr>
        <w:t>.</w:t>
      </w:r>
    </w:p>
    <w:p w:rsidR="0074103A" w:rsidRPr="0074103A" w:rsidRDefault="0074103A" w:rsidP="0074103A">
      <w:pPr>
        <w:numPr>
          <w:ilvl w:val="0"/>
          <w:numId w:val="47"/>
        </w:numPr>
        <w:shd w:val="clear" w:color="auto" w:fill="FFFFFF"/>
        <w:suppressAutoHyphens/>
        <w:autoSpaceDN w:val="0"/>
        <w:spacing w:before="100" w:after="10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t>Результат исполнения бюджета</w:t>
      </w:r>
    </w:p>
    <w:p w:rsidR="0074103A" w:rsidRPr="0074103A" w:rsidRDefault="0074103A" w:rsidP="0074103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Первоначальный дефицит (профицит) бюджета</w:t>
      </w:r>
      <w:r w:rsidR="00F0169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 202</w:t>
      </w:r>
      <w:r w:rsidR="00F0169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 планировался в размере 0,00 тыс. рублей.</w:t>
      </w:r>
    </w:p>
    <w:p w:rsidR="0074103A" w:rsidRPr="0074103A" w:rsidRDefault="0074103A" w:rsidP="0074103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В результате внесенных изменений в  бюджет</w:t>
      </w:r>
      <w:r w:rsidR="00F0169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, по состоянию на 31.12.202</w:t>
      </w:r>
      <w:r w:rsidR="00F0169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года планируемый дефицит бюджета был увеличен и составил </w:t>
      </w:r>
      <w:r w:rsidR="00F0169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15540,5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рублей. Размер планового дефицита бюджета и источник его финансирования не противоречат положениям статьи 92.1 Бюджетного кодекса Российской Федерации.</w:t>
      </w:r>
    </w:p>
    <w:p w:rsidR="0074103A" w:rsidRPr="00234180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Фактическим </w:t>
      </w:r>
      <w:r w:rsidRPr="002341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результатом исполнения бюджета</w:t>
      </w:r>
      <w:r w:rsidR="00F01695" w:rsidRPr="002341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округа за 2023</w:t>
      </w:r>
      <w:r w:rsidRPr="002341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 стало образование </w:t>
      </w:r>
      <w:r w:rsidR="00F01695" w:rsidRPr="002341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профицита</w:t>
      </w:r>
      <w:r w:rsidRPr="002341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сумме </w:t>
      </w:r>
      <w:r w:rsidR="00F01695" w:rsidRPr="002341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11078,7</w:t>
      </w:r>
      <w:r w:rsidRPr="0023418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рублей, </w:t>
      </w:r>
      <w:r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что на  </w:t>
      </w:r>
      <w:r w:rsidR="00F01695"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26619,</w:t>
      </w:r>
      <w:r w:rsidR="00234180"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 т</w:t>
      </w:r>
      <w:r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ыс. рублей </w:t>
      </w:r>
      <w:r w:rsidR="00F01695"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выше </w:t>
      </w:r>
      <w:r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запланированного.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Снижение дефицита произошло в результате недовыполнения бюджетных назначений по расходам на сумму </w:t>
      </w:r>
      <w:r w:rsidR="000970FC"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19723,</w:t>
      </w:r>
      <w:r w:rsidR="00234180"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 и перевыполнении уточненного плана по поступлению доходов в бюджет</w:t>
      </w:r>
      <w:r w:rsidR="000970FC"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округа </w:t>
      </w:r>
      <w:r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сумму </w:t>
      </w:r>
      <w:r w:rsidR="000970FC"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6895,9</w:t>
      </w:r>
      <w:r w:rsidRPr="0023418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рублей.</w:t>
      </w:r>
    </w:p>
    <w:p w:rsidR="0074103A" w:rsidRPr="00664A0E" w:rsidRDefault="0074103A" w:rsidP="0074103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664A0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 соответствии с отчетными данными, в качестве источника внутреннего финансирования планового дефицита бюджета</w:t>
      </w:r>
      <w:r w:rsidR="00664A0E" w:rsidRPr="00664A0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округа</w:t>
      </w:r>
      <w:r w:rsidRPr="00664A0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определено </w:t>
      </w:r>
      <w:r w:rsidR="00664A0E" w:rsidRPr="00664A0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увеличение </w:t>
      </w:r>
      <w:r w:rsidRPr="00664A0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остатков средств на счетах по учету средств местного бюджета – </w:t>
      </w:r>
      <w:r w:rsidR="00664A0E" w:rsidRPr="00664A0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11078,7</w:t>
      </w:r>
      <w:r w:rsidRPr="00664A0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64A0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тыс. рублей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64A0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664A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Администратором данного источника финансирования дефицита бюджета </w:t>
      </w:r>
      <w:r w:rsidR="00664A0E" w:rsidRPr="00664A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округа </w:t>
      </w:r>
      <w:r w:rsidRPr="00664A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является Финансовое управление </w:t>
      </w:r>
      <w:r w:rsidR="00664A0E" w:rsidRPr="00664A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администрации </w:t>
      </w:r>
      <w:r w:rsidRPr="00664A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Чагодощенского муниципального </w:t>
      </w:r>
      <w:r w:rsidR="00664A0E" w:rsidRPr="00664A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округа</w:t>
      </w:r>
      <w:r w:rsidRPr="00664A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74103A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</w:p>
    <w:p w:rsidR="0074103A" w:rsidRPr="0074103A" w:rsidRDefault="0074103A" w:rsidP="0074103A">
      <w:pPr>
        <w:numPr>
          <w:ilvl w:val="0"/>
          <w:numId w:val="47"/>
        </w:numPr>
        <w:suppressAutoHyphens/>
        <w:autoSpaceDN w:val="0"/>
        <w:spacing w:before="119" w:after="119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lang w:eastAsia="ar-SA"/>
        </w:rPr>
        <w:t>Состояние муниципального долга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Пунктом 1</w:t>
      </w:r>
      <w:r w:rsidR="00664A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решения </w:t>
      </w:r>
      <w:r w:rsidR="007F24E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Представительного Собрания</w:t>
      </w:r>
      <w:r w:rsidR="007F24EE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 бюджете Чагодощенского муниципального </w:t>
      </w:r>
      <w:r w:rsidR="00664A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  2</w:t>
      </w:r>
      <w:r w:rsidR="00664A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.12.202</w:t>
      </w:r>
      <w:r w:rsidR="00664A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№ </w:t>
      </w:r>
      <w:r w:rsidR="00664A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61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</w:t>
      </w:r>
      <w:r w:rsidRPr="007410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ерхний предел внутреннего муниципального долга по долговым обязательствам по состоянию на 01.01.202</w:t>
      </w:r>
      <w:r w:rsidR="00664A0E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</w:t>
      </w:r>
      <w:r w:rsidRPr="007410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установлен в размере 0,0 тыс. рублей, в том числе по муниципальным гарантиям – 0,0 тыс. рублей. </w:t>
      </w:r>
    </w:p>
    <w:p w:rsidR="0074103A" w:rsidRPr="0074103A" w:rsidRDefault="0074103A" w:rsidP="0074103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На 202</w:t>
      </w:r>
      <w:r w:rsidR="00664A0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 Программа муниципальных внутренних заимствований не утверждалась. В соответствии с данными бюджетной отчетности, в 2022 году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бюджетные кредиты за счет средств бюджета</w:t>
      </w:r>
      <w:r w:rsidR="005F61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не выдавались и муниципальные гарантии не предоставлялись.</w:t>
      </w:r>
    </w:p>
    <w:p w:rsidR="0074103A" w:rsidRPr="0074103A" w:rsidRDefault="0074103A" w:rsidP="0074103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4103A" w:rsidRPr="002F53B2" w:rsidRDefault="0074103A" w:rsidP="0074103A">
      <w:pPr>
        <w:numPr>
          <w:ilvl w:val="0"/>
          <w:numId w:val="47"/>
        </w:numPr>
        <w:tabs>
          <w:tab w:val="left" w:pos="709"/>
          <w:tab w:val="left" w:pos="1134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F53B2"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lang w:eastAsia="ar-SA"/>
        </w:rPr>
        <w:t>Оформление годовой бюджетной отчетности</w:t>
      </w:r>
    </w:p>
    <w:p w:rsidR="0074103A" w:rsidRPr="002F53B2" w:rsidRDefault="0074103A" w:rsidP="007410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53B2">
        <w:rPr>
          <w:rFonts w:ascii="Times New Roman" w:eastAsia="Calibri" w:hAnsi="Times New Roman" w:cs="Times New Roman"/>
          <w:sz w:val="28"/>
          <w:szCs w:val="28"/>
        </w:rPr>
        <w:t>В соответствии с п. 1 ст. 264.4 БК РФ</w:t>
      </w:r>
      <w:r w:rsidRPr="002F53B2">
        <w:rPr>
          <w:rFonts w:ascii="Times New Roman" w:eastAsia="Calibri" w:hAnsi="Times New Roman" w:cs="Times New Roman"/>
          <w:bCs/>
          <w:sz w:val="28"/>
          <w:szCs w:val="28"/>
        </w:rPr>
        <w:t xml:space="preserve">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распорядителей бюджетных средств.</w:t>
      </w:r>
    </w:p>
    <w:p w:rsidR="0074103A" w:rsidRPr="000377C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со статьей 160.1 Бюджетного кодекса постановлением администрации Чагодощенского муниципального района от 14.12.202</w:t>
      </w:r>
      <w:r w:rsidR="000377CA" w:rsidRPr="000377C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0377C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</w:t>
      </w:r>
      <w:r w:rsidR="000377CA" w:rsidRPr="000377C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397</w:t>
      </w:r>
      <w:r w:rsidRPr="000377C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«Об утверждении перечня главных администраторов доходов и источников внутреннего финансирования дефицита бюджета Чагодощенского муниципального </w:t>
      </w:r>
      <w:r w:rsidR="000377CA" w:rsidRPr="000377C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 Вологодской области</w:t>
      </w:r>
      <w:r w:rsidRPr="000377C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 утвержден перечень главных администраторов доходов бюджета</w:t>
      </w:r>
      <w:r w:rsidR="000377CA" w:rsidRPr="000377C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Чагодощенского муниципального округа Вологодской области</w:t>
      </w:r>
      <w:r w:rsidRPr="000377C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в соответствии с которым </w:t>
      </w:r>
      <w:r w:rsidR="004D10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главными администраторами бюджета округа в отчетном периоде являлись том числе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4103A" w:rsidRPr="000377C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Финансовое управление</w:t>
      </w:r>
      <w:r w:rsidR="000377CA"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Чагодощенского муниципального округа Вологодской области (код 2</w:t>
      </w:r>
      <w:r w:rsidR="000377CA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0377CA" w:rsidRPr="000377CA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377CA" w:rsidRPr="000377C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- Администрация Чагодощенского муниципального </w:t>
      </w:r>
      <w:r w:rsidR="000377CA" w:rsidRPr="000377CA">
        <w:rPr>
          <w:rFonts w:ascii="Times New Roman" w:eastAsia="Calibri" w:hAnsi="Times New Roman" w:cs="Times New Roman"/>
          <w:bCs/>
          <w:sz w:val="28"/>
          <w:szCs w:val="28"/>
        </w:rPr>
        <w:t>округа Вологодской области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 (код </w:t>
      </w:r>
      <w:r w:rsidR="000377CA" w:rsidRPr="000377C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>93);</w:t>
      </w:r>
    </w:p>
    <w:p w:rsidR="0074103A" w:rsidRPr="000377CA" w:rsidRDefault="000377C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>-Управление образования администрации Чагодощенского муниципального округа Вологодской области (код 296)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4103A" w:rsidRPr="000377C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- Комитет по управлению муниципальным имуществом </w:t>
      </w:r>
      <w:r w:rsidR="000377CA" w:rsidRPr="000377CA">
        <w:rPr>
          <w:rFonts w:ascii="Times New Roman" w:eastAsia="Calibri" w:hAnsi="Times New Roman" w:cs="Times New Roman"/>
          <w:bCs/>
          <w:sz w:val="28"/>
          <w:szCs w:val="28"/>
        </w:rPr>
        <w:t>администрации Чагодощенского муниципального округа Вологодской области (код 299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0377CA" w:rsidRPr="000377CA" w:rsidRDefault="000377C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>- Чагодское территориальное управление администрации Чагодощенского муниципального округа Вологодской области (код 268);</w:t>
      </w:r>
    </w:p>
    <w:p w:rsidR="000377CA" w:rsidRPr="000377CA" w:rsidRDefault="000377CA" w:rsidP="000377C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Сазоновское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территориальное управление администрации Чагодощенского муниципального округа Вологодской области (код 26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0377CA" w:rsidRPr="000377CA" w:rsidRDefault="000377CA" w:rsidP="000377C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Белокрестское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территориальное управление администрации Чагодощенского муниципального округа Вологодской области (код 26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0377CA" w:rsidRPr="004D10E3" w:rsidRDefault="000377CA" w:rsidP="000377C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Первомайское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территориальное управление администрации 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>Чагодощенского муниципального округа Вологодской области (код 265)</w:t>
      </w:r>
      <w:r w:rsidR="004D10E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4103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10E3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 xml:space="preserve">главных распорядителей бюджетных средств утвержден решением о бюджете Чагодощенского муниципального </w:t>
      </w:r>
      <w:r w:rsidR="004D10E3" w:rsidRPr="004D10E3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 xml:space="preserve">  от 2</w:t>
      </w:r>
      <w:r w:rsidR="004D10E3" w:rsidRPr="004D10E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>.12.202</w:t>
      </w:r>
      <w:r w:rsidR="004D10E3" w:rsidRPr="004D10E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4D10E3" w:rsidRPr="004D10E3">
        <w:rPr>
          <w:rFonts w:ascii="Times New Roman" w:eastAsia="Calibri" w:hAnsi="Times New Roman" w:cs="Times New Roman"/>
          <w:bCs/>
          <w:sz w:val="28"/>
          <w:szCs w:val="28"/>
        </w:rPr>
        <w:t>61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 xml:space="preserve"> в составе отдельных приложений по ведомственной структуре расходов бюджета</w:t>
      </w:r>
      <w:r w:rsidR="004D10E3" w:rsidRPr="004D10E3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>. Согласно указанного приложения в последней редакции бюджета</w:t>
      </w:r>
      <w:r w:rsidR="004D10E3" w:rsidRPr="004D10E3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 xml:space="preserve"> на 202</w:t>
      </w:r>
      <w:r w:rsidR="004D10E3" w:rsidRPr="004D10E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 xml:space="preserve"> год утверждены </w:t>
      </w:r>
      <w:r w:rsidR="004D10E3" w:rsidRPr="004D10E3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 xml:space="preserve"> главных </w:t>
      </w:r>
      <w:r w:rsidR="004D10E3" w:rsidRPr="004D10E3">
        <w:rPr>
          <w:rFonts w:ascii="Times New Roman" w:eastAsia="Calibri" w:hAnsi="Times New Roman" w:cs="Times New Roman"/>
          <w:bCs/>
          <w:sz w:val="28"/>
          <w:szCs w:val="28"/>
        </w:rPr>
        <w:t>распорядителей</w:t>
      </w:r>
      <w:r w:rsidRPr="0074103A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бюджетных средств:</w:t>
      </w:r>
    </w:p>
    <w:p w:rsidR="004D10E3" w:rsidRPr="000377CA" w:rsidRDefault="004D10E3" w:rsidP="004D10E3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>- Финансовое управление администрации Чагодощенского муниципального округа Вологодской области (код 2</w:t>
      </w:r>
      <w:r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4D10E3" w:rsidRPr="000377CA" w:rsidRDefault="004D10E3" w:rsidP="004D10E3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>- Администрация Чагодощенского муниципального округа Вологодской области (код 293);</w:t>
      </w:r>
    </w:p>
    <w:p w:rsidR="004D10E3" w:rsidRPr="000377CA" w:rsidRDefault="004D10E3" w:rsidP="004D10E3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>-Управление образования администрации Чагодощенского муниципального округа Вологодской области (код 296)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D10E3" w:rsidRPr="000377CA" w:rsidRDefault="004D10E3" w:rsidP="004D10E3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>- Комитет по управлению муниципальным имуществом администрации Чагодощенского муниципального округа Вологодской области (код 299);</w:t>
      </w:r>
    </w:p>
    <w:p w:rsidR="004D10E3" w:rsidRPr="000377CA" w:rsidRDefault="004D10E3" w:rsidP="004D10E3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>- Чагодское территориальное управление администрации Чагодощенского муниципального округа Вологодской области (код 268);</w:t>
      </w:r>
    </w:p>
    <w:p w:rsidR="004D10E3" w:rsidRPr="000377CA" w:rsidRDefault="004D10E3" w:rsidP="004D10E3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Сазоновское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территориальное управление администрации Чагодощенского муниципального округа Вологодской области (код 26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4D10E3" w:rsidRPr="000377CA" w:rsidRDefault="004D10E3" w:rsidP="004D10E3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BB5C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Белокрестское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территориальное управление администрации Чагодощенского муниципального округа Вологодской области (код 26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4D10E3" w:rsidRDefault="004D10E3" w:rsidP="004D10E3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Первомайское</w:t>
      </w:r>
      <w:r w:rsidRPr="000377CA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территориальное управление администрации 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>Чагодощенского муниципального округа Вологодской области (код 265)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D10E3" w:rsidRPr="004D10E3" w:rsidRDefault="004D10E3" w:rsidP="004D10E3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-контрольно-счетная комиссия 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 xml:space="preserve">Чагодощенского муниципального округа Вологодской области (код </w:t>
      </w:r>
      <w:r>
        <w:rPr>
          <w:rFonts w:ascii="Times New Roman" w:eastAsia="Calibri" w:hAnsi="Times New Roman" w:cs="Times New Roman"/>
          <w:bCs/>
          <w:sz w:val="28"/>
          <w:szCs w:val="28"/>
        </w:rPr>
        <w:t>291</w:t>
      </w:r>
      <w:r w:rsidRPr="004D10E3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4103A" w:rsidRPr="0074103A" w:rsidRDefault="0074103A" w:rsidP="0074103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 </w:t>
      </w:r>
      <w:r w:rsidRPr="00EB58F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В отчетном периоде участникам</w:t>
      </w:r>
      <w:r w:rsidR="00CF7BB6" w:rsidRPr="00EB58F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и бюджетного процесса являлись 9</w:t>
      </w:r>
      <w:r w:rsidRPr="00EB58F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 главных администраторов бюджетных средств.</w:t>
      </w:r>
      <w:r w:rsidRPr="00EB58FF">
        <w:rPr>
          <w:rFonts w:ascii="Times New Roman" w:eastAsia="Calibri" w:hAnsi="Times New Roman" w:cs="Times New Roman"/>
          <w:bCs/>
          <w:sz w:val="28"/>
          <w:szCs w:val="28"/>
        </w:rPr>
        <w:t xml:space="preserve"> Всеми ГАБС в соответствии с п.6.3.5 Положения о бюджетном процессе для проведения внешней проверки в контрольно-счетную</w:t>
      </w:r>
      <w:r w:rsidRPr="0074103A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комиссию Чагодощенского муниципального округа представлена бюджетная отчетность, сформированная в соответствии с требованиями п. 11.1 Инструкции №191н.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 итогам проверок оформлено 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9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заключений по исполнению главными администраторами и распорядителями бюджетных средств показателей решения Представительного Собрания Чагодощенского муниципального района от 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22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.12.202</w:t>
      </w:r>
      <w:r w:rsidR="00EB58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№</w:t>
      </w:r>
      <w:r w:rsidR="00EB58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61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«О  бюджете Чагодощенского муниципального 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202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 и плановый период 202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202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годов» (с последующими изменениями).</w:t>
      </w: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     Проверка проводилась в камеральной форме. При проведении проверки оценивались такие показатели, как: своевременность предоставления отчета; полнота состава форм бюджетной отчетности; соблюдение единого порядка составления и заполнения годовой бюджетной отчетности, определенного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191-н (далее - Инструкция № 191-н); соблюдение контрольных соотношений между показателями форм бюджетной отчетности.</w:t>
      </w:r>
    </w:p>
    <w:p w:rsidR="0074103A" w:rsidRPr="0074103A" w:rsidRDefault="0074103A" w:rsidP="007410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     Бюджетный учет у всех ГАБС велся по утвержденным сметам в разрезе кодов бюджетной классификации, утвержденных приказом Минфина РФ от 06 июня 2019г. N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 и в соответствии </w:t>
      </w:r>
      <w:r w:rsidRPr="0074103A">
        <w:rPr>
          <w:rFonts w:ascii="Times New Roman CYR" w:eastAsia="Calibri" w:hAnsi="Times New Roman CYR" w:cs="Times New Roman CYR"/>
          <w:sz w:val="28"/>
          <w:szCs w:val="28"/>
        </w:rPr>
        <w:t>с инструкциями по применению плана счетов бухгалтерского и бюджетного учета, утвержденных приказами Минфина РФ от 01.12.2010 № 157н, от 06.12.2010 №162н (с учетом изменений).</w:t>
      </w:r>
    </w:p>
    <w:p w:rsidR="0074103A" w:rsidRPr="0074103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Утвержденные и фактические показатели бюджетной отчетности всех ГАБС по доходам, по расходам и источникам финансирования дефицита бюджета за 202</w:t>
      </w:r>
      <w:r w:rsidR="00EB58F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41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соответствуют Отчету об исполнении бюджета</w:t>
      </w:r>
      <w:r w:rsidR="00EB5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</w:t>
      </w:r>
      <w:r w:rsidR="00EB58F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41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(форма 0503117) и сводной бюджетной росписи расходов бюджета</w:t>
      </w:r>
      <w:r w:rsidR="00EB5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Pr="00741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</w:t>
      </w:r>
      <w:r w:rsidR="00EB58F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41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74103A" w:rsidRDefault="0074103A" w:rsidP="007410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 Анализ форм бюджетной отчетности осуществлялся на основании показателей форм бюджетной отчетности, представленных администраторами и получателями на предмет соответствия числовых показателей, достоверности указанных в отчетности данных, соответствия по взаимосвязанным показателям форм, соблюдения  требований к отчетности, установленных Инструкцией №191н. Состав годовой бюджетной отчетности соответствует п.11.1 Инструкции № 191н.</w:t>
      </w:r>
    </w:p>
    <w:p w:rsidR="006A6718" w:rsidRDefault="006A6718" w:rsidP="006A6718">
      <w:pPr>
        <w:pStyle w:val="Standard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Расхождений между бюджетными ассигнованиями, утвержденными бюджетом на 2023 год, и лимитами бюджетных обязательств, утвержденными сводной бюджетной росписью, не установлено.</w:t>
      </w:r>
    </w:p>
    <w:p w:rsidR="0074103A" w:rsidRDefault="006A6718" w:rsidP="0074103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 </w:t>
      </w:r>
      <w:r w:rsidR="0074103A" w:rsidRPr="0071577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Результаты анализа представленных форм бюджетной отчетности</w:t>
      </w:r>
      <w:r w:rsidR="0074103A"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подтверждают их составление с соблюдением порядка, утвержденного Инструкцией №191н и соответствие контрольных соотношений между показателями форм годовой бюджетной отчетности. </w:t>
      </w:r>
      <w:r w:rsidR="0074103A" w:rsidRPr="0074103A">
        <w:rPr>
          <w:rFonts w:ascii="Times New Roman" w:eastAsia="Calibri" w:hAnsi="Times New Roman" w:cs="Times New Roman"/>
          <w:bCs/>
          <w:kern w:val="3"/>
          <w:sz w:val="28"/>
          <w:szCs w:val="28"/>
        </w:rPr>
        <w:t>Факты недостоверности показателей бюджетной отчетности не выявлены.</w:t>
      </w:r>
    </w:p>
    <w:p w:rsidR="006A6718" w:rsidRPr="0074103A" w:rsidRDefault="006A6718" w:rsidP="006A671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</w:rPr>
      </w:pPr>
      <w:r w:rsidRPr="006A67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 ходе </w:t>
      </w:r>
      <w:r w:rsidRPr="006A6718">
        <w:rPr>
          <w:rFonts w:ascii="Times New Roman" w:eastAsia="Calibri" w:hAnsi="Times New Roman" w:cs="Times New Roman"/>
          <w:bCs/>
          <w:sz w:val="28"/>
          <w:szCs w:val="28"/>
        </w:rPr>
        <w:t xml:space="preserve">проверок годовой бюджетной отчетности </w:t>
      </w:r>
      <w:r w:rsidRPr="006A67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выявлены </w:t>
      </w:r>
      <w:r w:rsidRPr="006A671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факт</w:t>
      </w:r>
      <w:r w:rsidR="00FA0DC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ы</w:t>
      </w:r>
      <w:r w:rsidRPr="006A671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несоблюдения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девятью </w:t>
      </w:r>
      <w:r w:rsidRPr="006A671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главными администраторами средств бюджета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округа </w:t>
      </w:r>
      <w:r w:rsidRPr="006A671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принципа эффективности использования бюджетных средств, установленного статьей 34 БК РФ, в части средств, направленных на уплату пеней, штрафов и исполнение судебных решений по денежным обязательствам бюджета за счет средств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бюджета округа</w:t>
      </w:r>
      <w:r w:rsidR="00EA1F9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общую сумму 14,5 тыс.руб.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74103A" w:rsidRPr="0074103A" w:rsidRDefault="0074103A" w:rsidP="0074103A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</w:rPr>
        <w:lastRenderedPageBreak/>
        <w:t>Бюджетные ассигнования, выделенные для финансирования расходов ГАБС на 202</w:t>
      </w:r>
      <w:r w:rsidR="00EB58FF">
        <w:rPr>
          <w:rFonts w:ascii="Times New Roman" w:eastAsia="Calibri" w:hAnsi="Times New Roman" w:cs="Times New Roman"/>
          <w:sz w:val="28"/>
          <w:szCs w:val="28"/>
        </w:rPr>
        <w:t>3</w:t>
      </w: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 год, соответствуют целям, предусмотренным решением о бюджете </w:t>
      </w:r>
      <w:r w:rsidR="00EB58FF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B58FF">
        <w:rPr>
          <w:rFonts w:ascii="Times New Roman" w:eastAsia="Calibri" w:hAnsi="Times New Roman" w:cs="Times New Roman"/>
          <w:sz w:val="28"/>
          <w:szCs w:val="28"/>
        </w:rPr>
        <w:t>61</w:t>
      </w: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EB58FF">
        <w:rPr>
          <w:rFonts w:ascii="Times New Roman" w:eastAsia="Calibri" w:hAnsi="Times New Roman" w:cs="Times New Roman"/>
          <w:sz w:val="28"/>
          <w:szCs w:val="28"/>
        </w:rPr>
        <w:t>2</w:t>
      </w:r>
      <w:r w:rsidRPr="0074103A">
        <w:rPr>
          <w:rFonts w:ascii="Times New Roman" w:eastAsia="Calibri" w:hAnsi="Times New Roman" w:cs="Times New Roman"/>
          <w:sz w:val="28"/>
          <w:szCs w:val="28"/>
        </w:rPr>
        <w:t>.12.202</w:t>
      </w:r>
      <w:r w:rsidR="00EB58FF">
        <w:rPr>
          <w:rFonts w:ascii="Times New Roman" w:eastAsia="Calibri" w:hAnsi="Times New Roman" w:cs="Times New Roman"/>
          <w:sz w:val="28"/>
          <w:szCs w:val="28"/>
        </w:rPr>
        <w:t>2</w:t>
      </w:r>
      <w:r w:rsidRPr="0074103A">
        <w:rPr>
          <w:rFonts w:ascii="Times New Roman" w:eastAsia="Calibri" w:hAnsi="Times New Roman" w:cs="Times New Roman"/>
          <w:sz w:val="28"/>
          <w:szCs w:val="28"/>
        </w:rPr>
        <w:t>г. (с изменениями).</w:t>
      </w:r>
    </w:p>
    <w:p w:rsidR="0074103A" w:rsidRPr="0074103A" w:rsidRDefault="0074103A" w:rsidP="0074103A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Отчет об исполнении бюджета Чагодощенского муниципального </w:t>
      </w:r>
      <w:r w:rsidR="00EB58FF">
        <w:rPr>
          <w:rFonts w:ascii="Times New Roman" w:eastAsia="Calibri" w:hAnsi="Times New Roman" w:cs="Times New Roman"/>
          <w:sz w:val="28"/>
          <w:szCs w:val="28"/>
        </w:rPr>
        <w:t>округа за 2023</w:t>
      </w: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 год составлен на основании сводной бюджетной отчетности главных распорядителей бюджетных средств. </w:t>
      </w:r>
    </w:p>
    <w:p w:rsidR="0074103A" w:rsidRPr="0074103A" w:rsidRDefault="0074103A" w:rsidP="0074103A">
      <w:pPr>
        <w:tabs>
          <w:tab w:val="left" w:pos="790"/>
        </w:tabs>
        <w:suppressAutoHyphens/>
        <w:autoSpaceDN w:val="0"/>
        <w:spacing w:before="119" w:after="119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Выводы</w:t>
      </w:r>
    </w:p>
    <w:p w:rsidR="0074103A" w:rsidRPr="0074103A" w:rsidRDefault="0074103A" w:rsidP="0074103A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Годовой отчет об исполнении бюджета</w:t>
      </w:r>
      <w:r w:rsidR="00EB58F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округа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за 202</w:t>
      </w:r>
      <w:r w:rsidR="00EB58F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год представлен в контрольно-счетную комиссию с соблюдением требований по объему и сроку представления, установленных Инструкцией № 191н и разделом 6 Положения о бюджетном процессе. Заполнение форм отчетности произведено в соответствии с указанной Инструкцией. Отчет об исполнении бюджета</w:t>
      </w:r>
      <w:r w:rsidR="00EB58F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округа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за 202</w:t>
      </w:r>
      <w:r w:rsidR="00EB58F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год составлен на основании сводной бюджетной отчетности главных распорядителей бюджетных средств.</w:t>
      </w:r>
    </w:p>
    <w:p w:rsidR="00EA1F98" w:rsidRDefault="0074103A" w:rsidP="00EA1F98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ходе внешней проверки бюджетной отчетности за 202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 проверена бюджетная отчетность 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9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главных администраторов бюджетных средств. Внешняя проверка бюджетной отчетности ГАБС бюджета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округа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 202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 показала, что полнота представленной бюджетной отчетности в целом соответствует требованиям ст. 264.1 Бюджетного кодекса РФ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(утв. Приказом Минфина РФ от 23.12.2010 №191н). По результатам проверки годовой бюджетной отчетности за 202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год, фактов  недостоверности  показателей бюджетной  отчетности не выявлено. Контрольные соотношения между показателями форм бюджетной отчетности выдержаны.</w:t>
      </w:r>
    </w:p>
    <w:p w:rsidR="00EA1F98" w:rsidRPr="00EA1F98" w:rsidRDefault="00EA1F98" w:rsidP="00EA1F9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A1F98">
        <w:rPr>
          <w:rFonts w:ascii="Times New Roman" w:hAnsi="Times New Roman" w:cs="Times New Roman"/>
          <w:sz w:val="28"/>
          <w:szCs w:val="28"/>
        </w:rPr>
        <w:t>В ходе проверки  выявлен факт несоблюдения главными администраторами средств бюджета  округа принципа эффективности использования бюджетных средств, установленного статьей 34 БК РФ, в части средств, направленных на уплату штрафов, пеней за счет средств бюджета округа  на общую  сумму  14,5 тыс. рублей (пени и штрафы).</w:t>
      </w:r>
    </w:p>
    <w:p w:rsidR="0074103A" w:rsidRPr="00715774" w:rsidRDefault="0074103A" w:rsidP="0074103A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A1F98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У</w:t>
      </w:r>
      <w:r w:rsidRPr="00EA1F9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твержденные и фактические показатели бюджетной отчетности  ГАБС по доходам, по расходам и источникам финансирования дефицита бюджета за 202</w:t>
      </w:r>
      <w:r w:rsidR="00EB58FF" w:rsidRPr="00EA1F9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EA1F9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 соответствуют Отчету об исполнении бюджета</w:t>
      </w:r>
      <w:r w:rsidR="00EB58FF" w:rsidRPr="00EA1F9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округа</w:t>
      </w:r>
      <w:r w:rsidRPr="0071577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за 202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71577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 (форма 0503117) и Сводной бюджетной росписи расходов бюджета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округа</w:t>
      </w:r>
      <w:r w:rsidRPr="0071577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за 202</w:t>
      </w:r>
      <w:r w:rsidR="00EB58F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71577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год. </w:t>
      </w:r>
    </w:p>
    <w:p w:rsidR="0074103A" w:rsidRPr="0074103A" w:rsidRDefault="0074103A" w:rsidP="0074103A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По итогам исполнения бюджета за 202</w:t>
      </w:r>
      <w:r w:rsidR="00EB58F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год получено доходов всего в сумме  </w:t>
      </w:r>
      <w:r w:rsidR="00422C8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1002491,4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тыс. рублей. Планов</w:t>
      </w:r>
      <w:r w:rsidR="00422C8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ые показатели исполнены на 100,7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%, объем перевыполненных  по плану доходов бюджета по состоянию на 01.01.202</w:t>
      </w:r>
      <w:r w:rsidR="00422C8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4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составил </w:t>
      </w:r>
      <w:r w:rsidR="00422C8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6895,9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тыс. рублей. По сравнению с 202</w:t>
      </w:r>
      <w:r w:rsidR="00422C8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2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годом сумма доходов бюджета за отчетный период </w:t>
      </w:r>
      <w:r w:rsidR="00422C8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увеличилась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на </w:t>
      </w:r>
      <w:r w:rsidR="00422C8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51,2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% или на </w:t>
      </w:r>
      <w:r w:rsidR="00422C8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339369,3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тыс. рублей.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структуре доходной части бюджета</w:t>
      </w:r>
      <w:r w:rsidR="00422C8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за 202</w:t>
      </w:r>
      <w:r w:rsidR="00422C8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 </w:t>
      </w:r>
      <w:r w:rsidR="00422C8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80,1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% составляют безвозмездные поступления; доля налоговых доходов составляет </w:t>
      </w:r>
      <w:r w:rsidR="00422C8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18,8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%, доля неналоговых доходов составляет 1,</w:t>
      </w:r>
      <w:r w:rsidR="00422C8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%. </w:t>
      </w:r>
    </w:p>
    <w:p w:rsidR="0074103A" w:rsidRPr="0074103A" w:rsidRDefault="0074103A" w:rsidP="0074103A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Кассовое исполнение бюджета</w:t>
      </w:r>
      <w:r w:rsidR="00EA1C9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202</w:t>
      </w:r>
      <w:r w:rsidR="00EA1C9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году по расходам составило </w:t>
      </w:r>
      <w:r w:rsidR="00EA1C9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991412,7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 или 9</w:t>
      </w:r>
      <w:r w:rsidR="00E47AF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8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,0% от утвержденных плановых бюджетных назначений. По состоянию на 01.01.202</w:t>
      </w:r>
      <w:r w:rsidR="00E47AF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неисполненные бюджетные назначения по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расходам составили </w:t>
      </w:r>
      <w:r w:rsidR="00E47AF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19723,2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рублей, или </w:t>
      </w:r>
      <w:r w:rsidR="00E47AF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2,0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% от утвержденных бюджетных назначений. В сравнении с 202</w:t>
      </w:r>
      <w:r w:rsidR="00E47AF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2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годом общая сумма расходов за отчетный период </w:t>
      </w:r>
      <w:r w:rsidR="00E47AF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увеличилась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</w:t>
      </w:r>
      <w:r w:rsidR="00E47AF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47,2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% или на </w:t>
      </w:r>
      <w:r w:rsidR="00E47AF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318048,6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рублей.</w:t>
      </w:r>
      <w:r w:rsidR="009E77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74103A" w:rsidRPr="0074103A" w:rsidRDefault="0074103A" w:rsidP="0074103A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Бюджет Чагодощенского муниципального </w:t>
      </w:r>
      <w:r w:rsidR="00FD3C3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округа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 202</w:t>
      </w:r>
      <w:r w:rsidR="00FD3C3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 исполнен с </w:t>
      </w:r>
      <w:r w:rsidR="00FD3C3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профицитом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размере </w:t>
      </w:r>
      <w:r w:rsidR="00FD3C3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11,78,7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рублей. </w:t>
      </w:r>
    </w:p>
    <w:p w:rsidR="0074103A" w:rsidRPr="00FD3C39" w:rsidRDefault="0074103A" w:rsidP="0074103A">
      <w:pPr>
        <w:numPr>
          <w:ilvl w:val="0"/>
          <w:numId w:val="43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D3C3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</w:t>
      </w:r>
      <w:r w:rsidRPr="00FD3C3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огласно данным Баланса исполнения бюджета</w:t>
      </w:r>
      <w:r w:rsidR="00FD3C39" w:rsidRPr="00FD3C3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округа</w:t>
      </w:r>
      <w:r w:rsidRPr="00FD3C3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(форма по ОКУД 0503120), по состоянию на 01.01.202</w:t>
      </w:r>
      <w:r w:rsidR="00FD3C39" w:rsidRPr="00FD3C3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4</w:t>
      </w:r>
      <w:r w:rsidRPr="00FD3C3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остаток средств на едином счете бюджета в органе Федерального казначейства, без учета средств во временном распоряжении, составил </w:t>
      </w:r>
      <w:r w:rsidR="00FD3C39" w:rsidRPr="00FD3C3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27532,4</w:t>
      </w:r>
      <w:r w:rsidRPr="00FD3C3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тыс. рублей.</w:t>
      </w:r>
    </w:p>
    <w:p w:rsidR="008D222A" w:rsidRDefault="008B2D5C" w:rsidP="008D222A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   </w:t>
      </w:r>
      <w:r w:rsidR="0074103A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В соответствии с Бюджетным кодексом Российской Федерации бюджет</w:t>
      </w:r>
      <w:r w:rsidR="00FD3C39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округа</w:t>
      </w:r>
      <w:r w:rsidR="0074103A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в 202</w:t>
      </w:r>
      <w:r w:rsidR="00FD3C39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3</w:t>
      </w:r>
      <w:r w:rsidR="0074103A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году сформирован в программной</w:t>
      </w:r>
      <w:r w:rsidR="00FD3C39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структуре расходов на основе 25</w:t>
      </w:r>
      <w:r w:rsidR="0074103A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муниципальных программ. </w:t>
      </w:r>
      <w:r w:rsidR="0074103A" w:rsidRPr="008B2D5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Фактическое исполнение программных расходов за 202</w:t>
      </w:r>
      <w:r w:rsidR="00FD3C39" w:rsidRPr="008B2D5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="0074103A" w:rsidRPr="008B2D5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 сложилось в сумме </w:t>
      </w:r>
      <w:r w:rsidR="00FD3C39" w:rsidRPr="008B2D5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985029,2</w:t>
      </w:r>
      <w:r w:rsidR="0074103A" w:rsidRPr="008B2D5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тыс. рублей, или 9</w:t>
      </w:r>
      <w:r w:rsidR="00FD3C39" w:rsidRPr="008B2D5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8</w:t>
      </w:r>
      <w:r w:rsidR="0074103A" w:rsidRPr="008B2D5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  <w:r w:rsidR="00FD3C39" w:rsidRPr="008B2D5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</w:t>
      </w:r>
      <w:r w:rsidR="0074103A" w:rsidRPr="008B2D5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% от плановых показателей. </w:t>
      </w:r>
      <w:r w:rsidR="0074103A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Доля программных расходов в общем объеме исполненных расходов бюджета</w:t>
      </w:r>
      <w:r w:rsidR="00FD3C39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округ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а</w:t>
      </w:r>
      <w:r w:rsidR="0074103A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составляет 9</w:t>
      </w:r>
      <w:r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9</w:t>
      </w:r>
      <w:r w:rsidR="0074103A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,</w:t>
      </w:r>
      <w:r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4</w:t>
      </w:r>
      <w:r w:rsidR="0074103A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%. </w:t>
      </w:r>
      <w:r w:rsidRPr="0074103A">
        <w:rPr>
          <w:rFonts w:ascii="Times New Roman" w:eastAsia="Calibri" w:hAnsi="Times New Roman" w:cs="Courier New"/>
          <w:sz w:val="28"/>
          <w:szCs w:val="28"/>
        </w:rPr>
        <w:t xml:space="preserve">По </w:t>
      </w:r>
      <w:r>
        <w:rPr>
          <w:rFonts w:ascii="Times New Roman" w:eastAsia="Calibri" w:hAnsi="Times New Roman" w:cs="Courier New"/>
          <w:sz w:val="28"/>
          <w:szCs w:val="28"/>
        </w:rPr>
        <w:t xml:space="preserve">5 </w:t>
      </w:r>
      <w:r w:rsidRPr="0074103A">
        <w:rPr>
          <w:rFonts w:ascii="Times New Roman" w:eastAsia="Calibri" w:hAnsi="Times New Roman" w:cs="Courier New"/>
          <w:sz w:val="28"/>
          <w:szCs w:val="28"/>
        </w:rPr>
        <w:t>муниципальным программам бюджетные назначения исполнены в полном объеме т.е.100% исполнение, по 1</w:t>
      </w:r>
      <w:r>
        <w:rPr>
          <w:rFonts w:ascii="Times New Roman" w:eastAsia="Calibri" w:hAnsi="Times New Roman" w:cs="Courier New"/>
          <w:sz w:val="28"/>
          <w:szCs w:val="28"/>
        </w:rPr>
        <w:t>4</w:t>
      </w:r>
      <w:r w:rsidRPr="0074103A">
        <w:rPr>
          <w:rFonts w:ascii="Times New Roman" w:eastAsia="Calibri" w:hAnsi="Times New Roman" w:cs="Courier New"/>
          <w:sz w:val="28"/>
          <w:szCs w:val="28"/>
        </w:rPr>
        <w:t xml:space="preserve"> муниципальным программам исполнение более 90%, по </w:t>
      </w:r>
      <w:r>
        <w:rPr>
          <w:rFonts w:ascii="Times New Roman" w:eastAsia="Calibri" w:hAnsi="Times New Roman" w:cs="Courier New"/>
          <w:sz w:val="28"/>
          <w:szCs w:val="28"/>
        </w:rPr>
        <w:t xml:space="preserve">остальным 10 </w:t>
      </w:r>
      <w:r w:rsidRPr="0074103A">
        <w:rPr>
          <w:rFonts w:ascii="Times New Roman" w:eastAsia="Calibri" w:hAnsi="Times New Roman" w:cs="Courier New"/>
          <w:sz w:val="28"/>
          <w:szCs w:val="28"/>
        </w:rPr>
        <w:t xml:space="preserve">муниципальной программе процент исполнения составил </w:t>
      </w:r>
      <w:r>
        <w:rPr>
          <w:rFonts w:ascii="Times New Roman" w:eastAsia="Calibri" w:hAnsi="Times New Roman" w:cs="Courier New"/>
          <w:sz w:val="28"/>
          <w:szCs w:val="28"/>
        </w:rPr>
        <w:t>от 65,4% и выше.</w:t>
      </w:r>
      <w:r w:rsidR="008D222A" w:rsidRP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D222A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информации, содержащейся в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сводном </w:t>
      </w:r>
      <w:r w:rsidR="008D222A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годов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</w:t>
      </w:r>
      <w:r w:rsidR="008D222A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отчет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</w:t>
      </w:r>
      <w:r w:rsidR="008D222A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реализации муниципальных программ 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</w:t>
      </w:r>
      <w:r w:rsidR="008D222A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 xml:space="preserve">Чагодощенском </w:t>
      </w:r>
      <w:r w:rsidR="008D222A" w:rsidRPr="00466A7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муниципально</w:t>
      </w:r>
      <w:r w:rsidR="008D222A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>м</w:t>
      </w:r>
      <w:r w:rsidR="008D222A" w:rsidRPr="00466A7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 xml:space="preserve"> </w:t>
      </w:r>
      <w:r w:rsidR="008D222A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  <w:t xml:space="preserve">округе за 2023 размещенном на сайте Чагодощенского муниципального округа 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</w:t>
      </w:r>
      <w:r w:rsidR="008D222A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огласно мониторингу эффективности исполнения муниципальных программ в 202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="008D222A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году эффективность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реализации </w:t>
      </w:r>
      <w:r w:rsidR="008D222A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26</w:t>
      </w:r>
      <w:r w:rsidR="008D222A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программ признана эффективной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   </w:t>
      </w:r>
      <w:r w:rsidR="008D222A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 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="008D222A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муниципальным </w:t>
      </w:r>
      <w:r w:rsidR="008D222A" w:rsidRPr="00466A7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программам — </w:t>
      </w:r>
      <w:r w:rsidR="008D22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частично эффективна.</w:t>
      </w:r>
    </w:p>
    <w:p w:rsidR="0074103A" w:rsidRPr="008B2D5C" w:rsidRDefault="008D222A" w:rsidP="008D2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7.</w:t>
      </w:r>
      <w:r w:rsidR="0074103A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Муниципальный долг по состоянию на 01.01.202</w:t>
      </w:r>
      <w:r w:rsid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4</w:t>
      </w:r>
      <w:r w:rsidR="0074103A" w:rsidRPr="008B2D5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отсутствует.</w:t>
      </w:r>
    </w:p>
    <w:p w:rsidR="0074103A" w:rsidRDefault="0074103A" w:rsidP="0074103A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Предложения:</w:t>
      </w:r>
    </w:p>
    <w:p w:rsidR="0074103A" w:rsidRPr="0074103A" w:rsidRDefault="0074103A" w:rsidP="007410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основании проведенной внешней проверки бюджетной отчетности главных распорядителей бюджетных средств и отчета об исполнении бюджета</w:t>
      </w:r>
      <w:r w:rsidR="008B2D5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202</w:t>
      </w:r>
      <w:r w:rsidR="00616E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год, представленного в виде проекта решения Представительного Собрания Чагодощенского муниципального округа «Об исполнении бюджета Чагодощенского муниципального района за 202</w:t>
      </w:r>
      <w:r w:rsidR="008B2D5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год», контрольно-счетной комиссией  Чагодощенского муниципального округа установлено соответствие показателей годовой бюджетной отчетности главных распорядителей бюджетных средств данным отчета об исполнении бюджета</w:t>
      </w:r>
      <w:r w:rsidR="008B2D5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202</w:t>
      </w:r>
      <w:r w:rsidR="008B2D5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год.  Учитывая вышеизложенное,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на основании пункта 5 статьи 6 Закона №5114-ОЗ,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отчет об исполнении </w:t>
      </w:r>
      <w:r w:rsidR="00616E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бюджета округа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 202</w:t>
      </w:r>
      <w:r w:rsidR="008B2D5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рекомендуется к рассмотрению и утверждению Представительным Собранием Чагодощенского муниципального округа.</w:t>
      </w:r>
    </w:p>
    <w:p w:rsidR="0074103A" w:rsidRPr="0074103A" w:rsidRDefault="0074103A" w:rsidP="007410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Pr="0074103A" w:rsidRDefault="0074103A" w:rsidP="007410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Pr="0074103A" w:rsidRDefault="0074103A" w:rsidP="007410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контрольно-счетного комиссии</w:t>
      </w:r>
    </w:p>
    <w:p w:rsidR="00F41213" w:rsidRDefault="0074103A" w:rsidP="0074103A"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 муниципального округа                                          Н.В.Васильева</w:t>
      </w:r>
    </w:p>
    <w:sectPr w:rsidR="00F41213" w:rsidSect="0088597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8B" w:rsidRDefault="0080188B" w:rsidP="0074103A">
      <w:pPr>
        <w:spacing w:after="0" w:line="240" w:lineRule="auto"/>
      </w:pPr>
      <w:r>
        <w:separator/>
      </w:r>
    </w:p>
  </w:endnote>
  <w:endnote w:type="continuationSeparator" w:id="1">
    <w:p w:rsidR="0080188B" w:rsidRDefault="0080188B" w:rsidP="0074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89796"/>
      <w:docPartObj>
        <w:docPartGallery w:val="Page Numbers (Bottom of Page)"/>
        <w:docPartUnique/>
      </w:docPartObj>
    </w:sdtPr>
    <w:sdtContent>
      <w:p w:rsidR="00616EBE" w:rsidRDefault="00616EBE">
        <w:pPr>
          <w:pStyle w:val="a5"/>
          <w:jc w:val="center"/>
        </w:pPr>
        <w:fldSimple w:instr="PAGE   \* MERGEFORMAT">
          <w:r w:rsidR="009E771B">
            <w:rPr>
              <w:noProof/>
            </w:rPr>
            <w:t>8</w:t>
          </w:r>
        </w:fldSimple>
      </w:p>
    </w:sdtContent>
  </w:sdt>
  <w:p w:rsidR="00616EBE" w:rsidRPr="007B277B" w:rsidRDefault="00616E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BE" w:rsidRDefault="00616EBE">
    <w:pPr>
      <w:pStyle w:val="a5"/>
      <w:jc w:val="center"/>
    </w:pPr>
    <w:fldSimple w:instr=" PAGE   \* MERGEFORMAT ">
      <w:r>
        <w:rPr>
          <w:noProof/>
        </w:rPr>
        <w:t>1</w:t>
      </w:r>
    </w:fldSimple>
  </w:p>
  <w:p w:rsidR="00616EBE" w:rsidRDefault="00616EB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BE" w:rsidRPr="000B76DB" w:rsidRDefault="00616EBE">
    <w:pPr>
      <w:pStyle w:val="a5"/>
      <w:jc w:val="right"/>
    </w:pPr>
  </w:p>
  <w:p w:rsidR="00616EBE" w:rsidRDefault="00616EB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6496871"/>
      <w:docPartObj>
        <w:docPartGallery w:val="Page Numbers (Bottom of Page)"/>
        <w:docPartUnique/>
      </w:docPartObj>
    </w:sdtPr>
    <w:sdtContent>
      <w:p w:rsidR="00616EBE" w:rsidRDefault="00616EBE">
        <w:pPr>
          <w:pStyle w:val="a5"/>
          <w:jc w:val="center"/>
        </w:pPr>
        <w:fldSimple w:instr="PAGE   \* MERGEFORMAT">
          <w:r w:rsidR="009334B7">
            <w:rPr>
              <w:noProof/>
            </w:rPr>
            <w:t>28</w:t>
          </w:r>
        </w:fldSimple>
      </w:p>
    </w:sdtContent>
  </w:sdt>
  <w:p w:rsidR="00616EBE" w:rsidRDefault="00616E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8B" w:rsidRDefault="0080188B" w:rsidP="0074103A">
      <w:pPr>
        <w:spacing w:after="0" w:line="240" w:lineRule="auto"/>
      </w:pPr>
      <w:r>
        <w:separator/>
      </w:r>
    </w:p>
  </w:footnote>
  <w:footnote w:type="continuationSeparator" w:id="1">
    <w:p w:rsidR="0080188B" w:rsidRDefault="0080188B" w:rsidP="00741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2A14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C02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EA3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D21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9A8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462B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F06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2E4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348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7E0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A188E12"/>
    <w:lvl w:ilvl="0">
      <w:numFmt w:val="bullet"/>
      <w:lvlText w:val="*"/>
      <w:lvlJc w:val="left"/>
    </w:lvl>
  </w:abstractNum>
  <w:abstractNum w:abstractNumId="11">
    <w:nsid w:val="00000002"/>
    <w:multiLevelType w:val="multilevel"/>
    <w:tmpl w:val="7FC41EF6"/>
    <w:name w:val="WW8Num2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12">
    <w:nsid w:val="02E23ED4"/>
    <w:multiLevelType w:val="hybridMultilevel"/>
    <w:tmpl w:val="21FC34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06290D1A"/>
    <w:multiLevelType w:val="multilevel"/>
    <w:tmpl w:val="A9964CE8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</w:abstractNum>
  <w:abstractNum w:abstractNumId="14">
    <w:nsid w:val="0A824E77"/>
    <w:multiLevelType w:val="hybridMultilevel"/>
    <w:tmpl w:val="BC4EB6D0"/>
    <w:lvl w:ilvl="0" w:tplc="9D90225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50339F3"/>
    <w:multiLevelType w:val="hybridMultilevel"/>
    <w:tmpl w:val="5844A590"/>
    <w:lvl w:ilvl="0" w:tplc="4112C3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69C13AF"/>
    <w:multiLevelType w:val="hybridMultilevel"/>
    <w:tmpl w:val="B3B241FE"/>
    <w:lvl w:ilvl="0" w:tplc="9E3C075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255DB"/>
    <w:multiLevelType w:val="hybridMultilevel"/>
    <w:tmpl w:val="CF1ABEA8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>
    <w:nsid w:val="25902F84"/>
    <w:multiLevelType w:val="multilevel"/>
    <w:tmpl w:val="1D000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6A00A2C"/>
    <w:multiLevelType w:val="hybridMultilevel"/>
    <w:tmpl w:val="3336F4F0"/>
    <w:lvl w:ilvl="0" w:tplc="C14AAD7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416255"/>
    <w:multiLevelType w:val="hybridMultilevel"/>
    <w:tmpl w:val="C6D80A12"/>
    <w:lvl w:ilvl="0" w:tplc="9DA2B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0F282F"/>
    <w:multiLevelType w:val="hybridMultilevel"/>
    <w:tmpl w:val="5DF4C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F4B28"/>
    <w:multiLevelType w:val="hybridMultilevel"/>
    <w:tmpl w:val="1D860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80781F"/>
    <w:multiLevelType w:val="multilevel"/>
    <w:tmpl w:val="00842E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z w:val="28"/>
        <w:szCs w:val="28"/>
      </w:rPr>
    </w:lvl>
  </w:abstractNum>
  <w:abstractNum w:abstractNumId="24">
    <w:nsid w:val="3DD67A68"/>
    <w:multiLevelType w:val="multilevel"/>
    <w:tmpl w:val="81CAA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22542B9"/>
    <w:multiLevelType w:val="hybridMultilevel"/>
    <w:tmpl w:val="C4B87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44720025"/>
    <w:multiLevelType w:val="multilevel"/>
    <w:tmpl w:val="0419001F"/>
    <w:numStyleLink w:val="111111"/>
  </w:abstractNum>
  <w:abstractNum w:abstractNumId="27">
    <w:nsid w:val="47932358"/>
    <w:multiLevelType w:val="hybridMultilevel"/>
    <w:tmpl w:val="1DFCA8F6"/>
    <w:lvl w:ilvl="0" w:tplc="A60C996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4962D1"/>
    <w:multiLevelType w:val="hybridMultilevel"/>
    <w:tmpl w:val="2FE85F7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4A636BF1"/>
    <w:multiLevelType w:val="hybridMultilevel"/>
    <w:tmpl w:val="A20AC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D12E8"/>
    <w:multiLevelType w:val="hybridMultilevel"/>
    <w:tmpl w:val="2A9896EA"/>
    <w:lvl w:ilvl="0" w:tplc="098ED31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65385"/>
    <w:multiLevelType w:val="hybridMultilevel"/>
    <w:tmpl w:val="4CA81EF0"/>
    <w:lvl w:ilvl="0" w:tplc="CD3894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4B6852"/>
    <w:multiLevelType w:val="hybridMultilevel"/>
    <w:tmpl w:val="BF8A84EE"/>
    <w:lvl w:ilvl="0" w:tplc="61E894F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3">
    <w:nsid w:val="588A76C7"/>
    <w:multiLevelType w:val="multilevel"/>
    <w:tmpl w:val="EE1AE72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</w:abstractNum>
  <w:abstractNum w:abstractNumId="34">
    <w:nsid w:val="5CAE5B1A"/>
    <w:multiLevelType w:val="multilevel"/>
    <w:tmpl w:val="78EA259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6250534F"/>
    <w:multiLevelType w:val="hybridMultilevel"/>
    <w:tmpl w:val="4CEC9040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6">
    <w:nsid w:val="6528746C"/>
    <w:multiLevelType w:val="hybridMultilevel"/>
    <w:tmpl w:val="42AACADE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7">
    <w:nsid w:val="6FEB620D"/>
    <w:multiLevelType w:val="hybridMultilevel"/>
    <w:tmpl w:val="461E7144"/>
    <w:lvl w:ilvl="0" w:tplc="CBA6227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B67023"/>
    <w:multiLevelType w:val="hybridMultilevel"/>
    <w:tmpl w:val="1D9408FA"/>
    <w:lvl w:ilvl="0" w:tplc="B20ABFAE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9">
    <w:nsid w:val="744C6698"/>
    <w:multiLevelType w:val="hybridMultilevel"/>
    <w:tmpl w:val="BD063B6C"/>
    <w:lvl w:ilvl="0" w:tplc="EB6C3466">
      <w:start w:val="8"/>
      <w:numFmt w:val="decimal"/>
      <w:lvlText w:val="%1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B499A"/>
    <w:multiLevelType w:val="hybridMultilevel"/>
    <w:tmpl w:val="DAC42332"/>
    <w:lvl w:ilvl="0" w:tplc="921843F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393C9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FA10E64"/>
    <w:multiLevelType w:val="hybridMultilevel"/>
    <w:tmpl w:val="B7A0F4B4"/>
    <w:lvl w:ilvl="0" w:tplc="E76A76E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1"/>
  </w:num>
  <w:num w:numId="16">
    <w:abstractNumId w:val="26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28"/>
  </w:num>
  <w:num w:numId="20">
    <w:abstractNumId w:val="21"/>
  </w:num>
  <w:num w:numId="21">
    <w:abstractNumId w:val="35"/>
  </w:num>
  <w:num w:numId="2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36"/>
  </w:num>
  <w:num w:numId="24">
    <w:abstractNumId w:val="17"/>
  </w:num>
  <w:num w:numId="25">
    <w:abstractNumId w:val="22"/>
  </w:num>
  <w:num w:numId="26">
    <w:abstractNumId w:val="11"/>
  </w:num>
  <w:num w:numId="27">
    <w:abstractNumId w:val="15"/>
  </w:num>
  <w:num w:numId="28">
    <w:abstractNumId w:val="42"/>
  </w:num>
  <w:num w:numId="29">
    <w:abstractNumId w:val="29"/>
  </w:num>
  <w:num w:numId="30">
    <w:abstractNumId w:val="30"/>
  </w:num>
  <w:num w:numId="3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>
    <w:abstractNumId w:val="25"/>
  </w:num>
  <w:num w:numId="33">
    <w:abstractNumId w:val="16"/>
  </w:num>
  <w:num w:numId="34">
    <w:abstractNumId w:val="39"/>
  </w:num>
  <w:num w:numId="35">
    <w:abstractNumId w:val="32"/>
  </w:num>
  <w:num w:numId="36">
    <w:abstractNumId w:val="20"/>
  </w:num>
  <w:num w:numId="37">
    <w:abstractNumId w:val="1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3"/>
  </w:num>
  <w:num w:numId="41">
    <w:abstractNumId w:val="27"/>
  </w:num>
  <w:num w:numId="42">
    <w:abstractNumId w:val="33"/>
  </w:num>
  <w:num w:numId="43">
    <w:abstractNumId w:val="23"/>
  </w:num>
  <w:num w:numId="44">
    <w:abstractNumId w:val="34"/>
  </w:num>
  <w:num w:numId="45">
    <w:abstractNumId w:val="18"/>
  </w:num>
  <w:num w:numId="46">
    <w:abstractNumId w:val="24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0F5"/>
    <w:rsid w:val="00013A25"/>
    <w:rsid w:val="000377CA"/>
    <w:rsid w:val="000415C6"/>
    <w:rsid w:val="00064AA7"/>
    <w:rsid w:val="0006551D"/>
    <w:rsid w:val="00067585"/>
    <w:rsid w:val="00074D32"/>
    <w:rsid w:val="000970FC"/>
    <w:rsid w:val="000E7D6E"/>
    <w:rsid w:val="00133883"/>
    <w:rsid w:val="001371B7"/>
    <w:rsid w:val="0013721F"/>
    <w:rsid w:val="00137CBA"/>
    <w:rsid w:val="00143986"/>
    <w:rsid w:val="00181343"/>
    <w:rsid w:val="001A7EC8"/>
    <w:rsid w:val="001C0933"/>
    <w:rsid w:val="001C6033"/>
    <w:rsid w:val="001E04B7"/>
    <w:rsid w:val="00224910"/>
    <w:rsid w:val="00234180"/>
    <w:rsid w:val="002418C4"/>
    <w:rsid w:val="00241DEA"/>
    <w:rsid w:val="0027363A"/>
    <w:rsid w:val="00274613"/>
    <w:rsid w:val="002A6603"/>
    <w:rsid w:val="002E3BE9"/>
    <w:rsid w:val="002E4992"/>
    <w:rsid w:val="002F1CDC"/>
    <w:rsid w:val="002F3D92"/>
    <w:rsid w:val="002F53B2"/>
    <w:rsid w:val="00344B4D"/>
    <w:rsid w:val="003A39E2"/>
    <w:rsid w:val="003A5518"/>
    <w:rsid w:val="003B5F50"/>
    <w:rsid w:val="003D2A65"/>
    <w:rsid w:val="003D2C97"/>
    <w:rsid w:val="003E5411"/>
    <w:rsid w:val="00404402"/>
    <w:rsid w:val="00413A6C"/>
    <w:rsid w:val="00422C89"/>
    <w:rsid w:val="00425E09"/>
    <w:rsid w:val="00444321"/>
    <w:rsid w:val="00466A73"/>
    <w:rsid w:val="00472690"/>
    <w:rsid w:val="00480EA3"/>
    <w:rsid w:val="004850F5"/>
    <w:rsid w:val="004D10E3"/>
    <w:rsid w:val="004E0D86"/>
    <w:rsid w:val="004E55EF"/>
    <w:rsid w:val="004F03DF"/>
    <w:rsid w:val="00505C42"/>
    <w:rsid w:val="005065EB"/>
    <w:rsid w:val="0051008C"/>
    <w:rsid w:val="00521538"/>
    <w:rsid w:val="005358DF"/>
    <w:rsid w:val="00564825"/>
    <w:rsid w:val="005A03C3"/>
    <w:rsid w:val="005A6BDC"/>
    <w:rsid w:val="005B2CAC"/>
    <w:rsid w:val="005E653D"/>
    <w:rsid w:val="005F61BC"/>
    <w:rsid w:val="00616EBE"/>
    <w:rsid w:val="00650204"/>
    <w:rsid w:val="00664A0E"/>
    <w:rsid w:val="006A13F0"/>
    <w:rsid w:val="006A3FDA"/>
    <w:rsid w:val="006A6718"/>
    <w:rsid w:val="006C1917"/>
    <w:rsid w:val="006C1C85"/>
    <w:rsid w:val="006D1B9B"/>
    <w:rsid w:val="006D53B2"/>
    <w:rsid w:val="006F7376"/>
    <w:rsid w:val="00700B9F"/>
    <w:rsid w:val="007127B5"/>
    <w:rsid w:val="00715774"/>
    <w:rsid w:val="007178DF"/>
    <w:rsid w:val="00720AD5"/>
    <w:rsid w:val="00722012"/>
    <w:rsid w:val="00723ED4"/>
    <w:rsid w:val="00736D81"/>
    <w:rsid w:val="0074103A"/>
    <w:rsid w:val="007504B8"/>
    <w:rsid w:val="007512B4"/>
    <w:rsid w:val="00774E91"/>
    <w:rsid w:val="00774EB5"/>
    <w:rsid w:val="0077755B"/>
    <w:rsid w:val="00780BF8"/>
    <w:rsid w:val="0078703F"/>
    <w:rsid w:val="007A1EC1"/>
    <w:rsid w:val="007E728D"/>
    <w:rsid w:val="007F24EE"/>
    <w:rsid w:val="0080188B"/>
    <w:rsid w:val="00813FB8"/>
    <w:rsid w:val="00816E72"/>
    <w:rsid w:val="00821D9B"/>
    <w:rsid w:val="0083525D"/>
    <w:rsid w:val="00856385"/>
    <w:rsid w:val="008739F5"/>
    <w:rsid w:val="00885975"/>
    <w:rsid w:val="008B2D5C"/>
    <w:rsid w:val="008D222A"/>
    <w:rsid w:val="008E7CCD"/>
    <w:rsid w:val="008F3619"/>
    <w:rsid w:val="0091193C"/>
    <w:rsid w:val="00912C2E"/>
    <w:rsid w:val="00913E58"/>
    <w:rsid w:val="0092223A"/>
    <w:rsid w:val="009334B7"/>
    <w:rsid w:val="009553A7"/>
    <w:rsid w:val="00987639"/>
    <w:rsid w:val="009916D9"/>
    <w:rsid w:val="009A1816"/>
    <w:rsid w:val="009C679E"/>
    <w:rsid w:val="009E5A90"/>
    <w:rsid w:val="009E7707"/>
    <w:rsid w:val="009E771B"/>
    <w:rsid w:val="009F6645"/>
    <w:rsid w:val="00A31ED9"/>
    <w:rsid w:val="00A33502"/>
    <w:rsid w:val="00A67D65"/>
    <w:rsid w:val="00A75E7C"/>
    <w:rsid w:val="00AC4B3D"/>
    <w:rsid w:val="00AC70ED"/>
    <w:rsid w:val="00AE20CC"/>
    <w:rsid w:val="00B0386C"/>
    <w:rsid w:val="00B11932"/>
    <w:rsid w:val="00B36E2A"/>
    <w:rsid w:val="00B63D72"/>
    <w:rsid w:val="00B86133"/>
    <w:rsid w:val="00BB5C9C"/>
    <w:rsid w:val="00BB70F4"/>
    <w:rsid w:val="00BD4B34"/>
    <w:rsid w:val="00BD7D2D"/>
    <w:rsid w:val="00BE7CDB"/>
    <w:rsid w:val="00BF6AFD"/>
    <w:rsid w:val="00C15D4A"/>
    <w:rsid w:val="00C26D8A"/>
    <w:rsid w:val="00C44969"/>
    <w:rsid w:val="00C56A3C"/>
    <w:rsid w:val="00C77F31"/>
    <w:rsid w:val="00CB5A6F"/>
    <w:rsid w:val="00CE5007"/>
    <w:rsid w:val="00CE6DDC"/>
    <w:rsid w:val="00CF6FD9"/>
    <w:rsid w:val="00CF7BB6"/>
    <w:rsid w:val="00D078F8"/>
    <w:rsid w:val="00D1476E"/>
    <w:rsid w:val="00D33CD5"/>
    <w:rsid w:val="00D46C8F"/>
    <w:rsid w:val="00D65246"/>
    <w:rsid w:val="00D850CA"/>
    <w:rsid w:val="00DA4AFD"/>
    <w:rsid w:val="00DA645F"/>
    <w:rsid w:val="00DF41F2"/>
    <w:rsid w:val="00E21AB5"/>
    <w:rsid w:val="00E21EDE"/>
    <w:rsid w:val="00E3530B"/>
    <w:rsid w:val="00E41D32"/>
    <w:rsid w:val="00E47AF3"/>
    <w:rsid w:val="00E77A2B"/>
    <w:rsid w:val="00EA0385"/>
    <w:rsid w:val="00EA1C94"/>
    <w:rsid w:val="00EA1F60"/>
    <w:rsid w:val="00EA1F98"/>
    <w:rsid w:val="00EB58FF"/>
    <w:rsid w:val="00ED71D1"/>
    <w:rsid w:val="00ED74D1"/>
    <w:rsid w:val="00EF2C8B"/>
    <w:rsid w:val="00EF3F36"/>
    <w:rsid w:val="00F01695"/>
    <w:rsid w:val="00F12006"/>
    <w:rsid w:val="00F15812"/>
    <w:rsid w:val="00F41213"/>
    <w:rsid w:val="00F4549E"/>
    <w:rsid w:val="00F52F85"/>
    <w:rsid w:val="00F71E7C"/>
    <w:rsid w:val="00FA0DCB"/>
    <w:rsid w:val="00FA366B"/>
    <w:rsid w:val="00FA58ED"/>
    <w:rsid w:val="00FB0178"/>
    <w:rsid w:val="00FB2851"/>
    <w:rsid w:val="00FC0F21"/>
    <w:rsid w:val="00FD3C39"/>
    <w:rsid w:val="00FD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17"/>
  </w:style>
  <w:style w:type="paragraph" w:styleId="1">
    <w:name w:val="heading 1"/>
    <w:basedOn w:val="a"/>
    <w:next w:val="a"/>
    <w:link w:val="10"/>
    <w:uiPriority w:val="9"/>
    <w:qFormat/>
    <w:rsid w:val="007410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4103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4103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03A"/>
  </w:style>
  <w:style w:type="paragraph" w:styleId="a5">
    <w:name w:val="footer"/>
    <w:basedOn w:val="a"/>
    <w:link w:val="a6"/>
    <w:uiPriority w:val="99"/>
    <w:unhideWhenUsed/>
    <w:rsid w:val="007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03A"/>
  </w:style>
  <w:style w:type="character" w:customStyle="1" w:styleId="10">
    <w:name w:val="Заголовок 1 Знак"/>
    <w:basedOn w:val="a0"/>
    <w:link w:val="1"/>
    <w:uiPriority w:val="9"/>
    <w:rsid w:val="0074103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10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0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103A"/>
  </w:style>
  <w:style w:type="paragraph" w:styleId="a7">
    <w:name w:val="Normal (Web)"/>
    <w:basedOn w:val="a"/>
    <w:uiPriority w:val="99"/>
    <w:unhideWhenUsed/>
    <w:rsid w:val="0074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103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103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74103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4103A"/>
    <w:rPr>
      <w:rFonts w:ascii="Calibri" w:eastAsia="Calibri" w:hAnsi="Calibri" w:cs="Times New Roman"/>
      <w:sz w:val="20"/>
      <w:szCs w:val="20"/>
    </w:rPr>
  </w:style>
  <w:style w:type="paragraph" w:styleId="ae">
    <w:name w:val="Title"/>
    <w:basedOn w:val="a"/>
    <w:link w:val="af"/>
    <w:uiPriority w:val="10"/>
    <w:qFormat/>
    <w:rsid w:val="007410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uiPriority w:val="10"/>
    <w:rsid w:val="0074103A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unhideWhenUsed/>
    <w:rsid w:val="007410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74103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410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4103A"/>
    <w:rPr>
      <w:rFonts w:ascii="Times New Roman" w:eastAsia="Times New Roman" w:hAnsi="Times New Roman" w:cs="Times New Roman"/>
      <w:sz w:val="26"/>
      <w:szCs w:val="20"/>
    </w:rPr>
  </w:style>
  <w:style w:type="paragraph" w:styleId="af4">
    <w:name w:val="Body Text First Indent"/>
    <w:basedOn w:val="af0"/>
    <w:link w:val="af5"/>
    <w:uiPriority w:val="99"/>
    <w:semiHidden/>
    <w:unhideWhenUsed/>
    <w:rsid w:val="0074103A"/>
    <w:pPr>
      <w:ind w:firstLine="210"/>
    </w:pPr>
  </w:style>
  <w:style w:type="character" w:customStyle="1" w:styleId="af5">
    <w:name w:val="Красная строка Знак"/>
    <w:basedOn w:val="af1"/>
    <w:link w:val="af4"/>
    <w:uiPriority w:val="99"/>
    <w:semiHidden/>
    <w:rsid w:val="0074103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410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103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410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103A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74103A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7410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74103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103A"/>
    <w:rPr>
      <w:rFonts w:ascii="Tahoma" w:eastAsia="Times New Roman" w:hAnsi="Tahoma" w:cs="Times New Roman"/>
      <w:sz w:val="16"/>
      <w:szCs w:val="16"/>
    </w:rPr>
  </w:style>
  <w:style w:type="paragraph" w:styleId="afa">
    <w:name w:val="No Spacing"/>
    <w:qFormat/>
    <w:rsid w:val="0074103A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List Paragraph"/>
    <w:basedOn w:val="a"/>
    <w:uiPriority w:val="34"/>
    <w:qFormat/>
    <w:rsid w:val="007410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Знак Знак Знак Знак Знак Знак"/>
    <w:basedOn w:val="a"/>
    <w:uiPriority w:val="99"/>
    <w:rsid w:val="0074103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7410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10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1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7410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d">
    <w:name w:val="footnote reference"/>
    <w:aliases w:val="текст сноски"/>
    <w:uiPriority w:val="99"/>
    <w:semiHidden/>
    <w:unhideWhenUsed/>
    <w:rsid w:val="0074103A"/>
    <w:rPr>
      <w:vertAlign w:val="superscript"/>
    </w:rPr>
  </w:style>
  <w:style w:type="character" w:styleId="afe">
    <w:name w:val="annotation reference"/>
    <w:uiPriority w:val="99"/>
    <w:semiHidden/>
    <w:unhideWhenUsed/>
    <w:rsid w:val="0074103A"/>
    <w:rPr>
      <w:sz w:val="16"/>
    </w:rPr>
  </w:style>
  <w:style w:type="character" w:styleId="aff">
    <w:name w:val="endnote reference"/>
    <w:uiPriority w:val="99"/>
    <w:semiHidden/>
    <w:unhideWhenUsed/>
    <w:rsid w:val="0074103A"/>
    <w:rPr>
      <w:vertAlign w:val="superscript"/>
    </w:rPr>
  </w:style>
  <w:style w:type="character" w:customStyle="1" w:styleId="inf">
    <w:name w:val="inf"/>
    <w:rsid w:val="0074103A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59"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uiPriority w:val="99"/>
    <w:unhideWhenUsed/>
    <w:rsid w:val="0074103A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74103A"/>
    <w:rPr>
      <w:color w:val="800080"/>
      <w:u w:val="single"/>
    </w:rPr>
  </w:style>
  <w:style w:type="paragraph" w:styleId="aff3">
    <w:name w:val="envelope address"/>
    <w:basedOn w:val="a"/>
    <w:rsid w:val="0074103A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numbering" w:styleId="111111">
    <w:name w:val="Outline List 2"/>
    <w:basedOn w:val="a2"/>
    <w:rsid w:val="0074103A"/>
    <w:pPr>
      <w:numPr>
        <w:numId w:val="15"/>
      </w:numPr>
    </w:pPr>
  </w:style>
  <w:style w:type="character" w:customStyle="1" w:styleId="aff4">
    <w:name w:val="Знак Знак"/>
    <w:basedOn w:val="a0"/>
    <w:semiHidden/>
    <w:locked/>
    <w:rsid w:val="0074103A"/>
    <w:rPr>
      <w:lang w:val="ru-RU" w:eastAsia="ru-RU" w:bidi="ar-SA"/>
    </w:rPr>
  </w:style>
  <w:style w:type="character" w:customStyle="1" w:styleId="12">
    <w:name w:val="Знак Знак1"/>
    <w:basedOn w:val="a0"/>
    <w:locked/>
    <w:rsid w:val="0074103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4103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3">
    <w:name w:val="Body Text 3"/>
    <w:basedOn w:val="a"/>
    <w:link w:val="34"/>
    <w:uiPriority w:val="99"/>
    <w:unhideWhenUsed/>
    <w:rsid w:val="0074103A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4103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p">
    <w:name w:val="p"/>
    <w:basedOn w:val="a0"/>
    <w:rsid w:val="0074103A"/>
  </w:style>
  <w:style w:type="paragraph" w:customStyle="1" w:styleId="CharChar4">
    <w:name w:val="Char Char4 Знак Знак Знак"/>
    <w:basedOn w:val="a"/>
    <w:rsid w:val="00741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74103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4103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0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4103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4103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03A"/>
  </w:style>
  <w:style w:type="paragraph" w:styleId="a5">
    <w:name w:val="footer"/>
    <w:basedOn w:val="a"/>
    <w:link w:val="a6"/>
    <w:uiPriority w:val="99"/>
    <w:unhideWhenUsed/>
    <w:rsid w:val="007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03A"/>
  </w:style>
  <w:style w:type="character" w:customStyle="1" w:styleId="10">
    <w:name w:val="Заголовок 1 Знак"/>
    <w:basedOn w:val="a0"/>
    <w:link w:val="1"/>
    <w:uiPriority w:val="9"/>
    <w:rsid w:val="0074103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410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0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103A"/>
  </w:style>
  <w:style w:type="paragraph" w:styleId="a7">
    <w:name w:val="Normal (Web)"/>
    <w:basedOn w:val="a"/>
    <w:uiPriority w:val="99"/>
    <w:unhideWhenUsed/>
    <w:rsid w:val="0074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7410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annotation text"/>
    <w:basedOn w:val="a"/>
    <w:link w:val="ab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10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endnote text"/>
    <w:basedOn w:val="a"/>
    <w:link w:val="ad"/>
    <w:uiPriority w:val="99"/>
    <w:semiHidden/>
    <w:unhideWhenUsed/>
    <w:rsid w:val="0074103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4103A"/>
    <w:rPr>
      <w:rFonts w:ascii="Calibri" w:eastAsia="Calibri" w:hAnsi="Calibri" w:cs="Times New Roman"/>
      <w:sz w:val="20"/>
      <w:szCs w:val="20"/>
      <w:lang w:val="x-none"/>
    </w:rPr>
  </w:style>
  <w:style w:type="paragraph" w:styleId="ae">
    <w:name w:val="Title"/>
    <w:basedOn w:val="a"/>
    <w:link w:val="af"/>
    <w:uiPriority w:val="10"/>
    <w:qFormat/>
    <w:rsid w:val="007410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74103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7410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7410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7410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4103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4">
    <w:name w:val="Body Text First Indent"/>
    <w:basedOn w:val="af0"/>
    <w:link w:val="af5"/>
    <w:uiPriority w:val="99"/>
    <w:semiHidden/>
    <w:unhideWhenUsed/>
    <w:rsid w:val="0074103A"/>
    <w:pPr>
      <w:ind w:firstLine="210"/>
    </w:pPr>
  </w:style>
  <w:style w:type="character" w:customStyle="1" w:styleId="af5">
    <w:name w:val="Красная строка Знак"/>
    <w:basedOn w:val="af1"/>
    <w:link w:val="af4"/>
    <w:uiPriority w:val="99"/>
    <w:semiHidden/>
    <w:rsid w:val="007410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7410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10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7410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10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74103A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74103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Balloon Text"/>
    <w:basedOn w:val="a"/>
    <w:link w:val="af9"/>
    <w:uiPriority w:val="99"/>
    <w:semiHidden/>
    <w:unhideWhenUsed/>
    <w:rsid w:val="0074103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103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 Spacing"/>
    <w:qFormat/>
    <w:rsid w:val="0074103A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List Paragraph"/>
    <w:basedOn w:val="a"/>
    <w:uiPriority w:val="34"/>
    <w:qFormat/>
    <w:rsid w:val="007410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Знак Знак Знак Знак Знак Знак"/>
    <w:basedOn w:val="a"/>
    <w:uiPriority w:val="99"/>
    <w:rsid w:val="0074103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7410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10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1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7410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d">
    <w:name w:val="footnote reference"/>
    <w:aliases w:val="текст сноски"/>
    <w:uiPriority w:val="99"/>
    <w:semiHidden/>
    <w:unhideWhenUsed/>
    <w:rsid w:val="0074103A"/>
    <w:rPr>
      <w:vertAlign w:val="superscript"/>
    </w:rPr>
  </w:style>
  <w:style w:type="character" w:styleId="afe">
    <w:name w:val="annotation reference"/>
    <w:uiPriority w:val="99"/>
    <w:semiHidden/>
    <w:unhideWhenUsed/>
    <w:rsid w:val="0074103A"/>
    <w:rPr>
      <w:sz w:val="16"/>
    </w:rPr>
  </w:style>
  <w:style w:type="character" w:styleId="aff">
    <w:name w:val="endnote reference"/>
    <w:uiPriority w:val="99"/>
    <w:semiHidden/>
    <w:unhideWhenUsed/>
    <w:rsid w:val="0074103A"/>
    <w:rPr>
      <w:vertAlign w:val="superscript"/>
    </w:rPr>
  </w:style>
  <w:style w:type="character" w:customStyle="1" w:styleId="inf">
    <w:name w:val="inf"/>
    <w:rsid w:val="0074103A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59"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uiPriority w:val="99"/>
    <w:semiHidden/>
    <w:unhideWhenUsed/>
    <w:rsid w:val="0074103A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74103A"/>
    <w:rPr>
      <w:color w:val="800080"/>
      <w:u w:val="single"/>
    </w:rPr>
  </w:style>
  <w:style w:type="paragraph" w:styleId="aff3">
    <w:name w:val="envelope address"/>
    <w:basedOn w:val="a"/>
    <w:rsid w:val="0074103A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numbering" w:styleId="111111">
    <w:name w:val="Outline List 2"/>
    <w:basedOn w:val="a2"/>
    <w:rsid w:val="0074103A"/>
    <w:pPr>
      <w:numPr>
        <w:numId w:val="15"/>
      </w:numPr>
    </w:pPr>
  </w:style>
  <w:style w:type="character" w:customStyle="1" w:styleId="aff4">
    <w:name w:val="Знак Знак"/>
    <w:basedOn w:val="a0"/>
    <w:semiHidden/>
    <w:locked/>
    <w:rsid w:val="0074103A"/>
    <w:rPr>
      <w:lang w:val="ru-RU" w:eastAsia="ru-RU" w:bidi="ar-SA"/>
    </w:rPr>
  </w:style>
  <w:style w:type="character" w:customStyle="1" w:styleId="12">
    <w:name w:val="Знак Знак1"/>
    <w:basedOn w:val="a0"/>
    <w:locked/>
    <w:rsid w:val="0074103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4103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3">
    <w:name w:val="Body Text 3"/>
    <w:basedOn w:val="a"/>
    <w:link w:val="34"/>
    <w:uiPriority w:val="99"/>
    <w:unhideWhenUsed/>
    <w:rsid w:val="0074103A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4103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p">
    <w:name w:val="p"/>
    <w:basedOn w:val="a0"/>
    <w:rsid w:val="0074103A"/>
  </w:style>
  <w:style w:type="paragraph" w:customStyle="1" w:styleId="CharChar4">
    <w:name w:val="Char Char4 Знак Знак Знак"/>
    <w:basedOn w:val="a"/>
    <w:rsid w:val="00741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74103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4103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35chagodosche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B97E-0FF7-4CE4-8B63-A5AFD747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38</Pages>
  <Words>12818</Words>
  <Characters>73068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88</cp:revision>
  <cp:lastPrinted>2024-04-26T08:37:00Z</cp:lastPrinted>
  <dcterms:created xsi:type="dcterms:W3CDTF">2024-04-18T08:24:00Z</dcterms:created>
  <dcterms:modified xsi:type="dcterms:W3CDTF">2024-04-26T08:57:00Z</dcterms:modified>
</cp:coreProperties>
</file>