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C71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12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EC7107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апреля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 проведении экспертизы была поставлена задача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1,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2,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4,5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апреля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5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и плановый период 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6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-202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7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годов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первый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3D0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.12.202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62582F" w:rsidRPr="002C0FE5" w:rsidTr="0062582F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AD46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1039057,6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1136439,7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97382,1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8D0B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9,4</w:t>
            </w:r>
            <w:r w:rsidR="0062582F" w:rsidRPr="008D0B66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208335,0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226762,6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18427,6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8,9</w:t>
            </w:r>
            <w:r w:rsidR="0062582F" w:rsidRPr="008D0B66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830722,6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909677,1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78954,5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  <w:r w:rsidR="0062582F" w:rsidRPr="008D0B66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1066256,6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1163638,7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97382,1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840BF3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582F" w:rsidRPr="008D0B66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1D33E3" w:rsidP="001D3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-27199,0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840BF3">
              <w:rPr>
                <w:rFonts w:ascii="Times New Roman" w:hAnsi="Times New Roman"/>
                <w:b/>
                <w:bCs/>
                <w:color w:val="000000"/>
              </w:rPr>
              <w:t>27199,0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B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A6D9D" w:rsidRPr="008A6D9D" w:rsidRDefault="002C0FE5" w:rsidP="001D33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увеличения на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97382,1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 планируется увеличить на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97382,1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рублей, или на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назначениям.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Дефицит бюджета </w:t>
      </w:r>
      <w:r w:rsidR="001D33E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остается на прежнем уровне и 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составит </w:t>
      </w:r>
      <w:r w:rsid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27199,0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тыс. рублей, что составляет </w:t>
      </w:r>
      <w:r w:rsidR="001D33E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12,0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% от объема доходов бюджета без учета объема безвозмездных поступлений. </w:t>
      </w:r>
    </w:p>
    <w:p w:rsidR="008D6277" w:rsidRPr="002C0FE5" w:rsidRDefault="008D6277" w:rsidP="008A6D9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Основные характеристики бюджета округа на плановый период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учетом изменений составят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доходы –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1136439,7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1163638,7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</w:t>
      </w:r>
      <w:r w:rsidR="001D33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планируется уменьшение доходов и расходов на 17130,4 тыс. руб.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с учетом изменений составят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доходы – </w:t>
      </w:r>
      <w:r w:rsidR="00AA544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803893,6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AA544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803893,6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A544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2027 год так же планируется уменьшение доходов и расходов на 17130,4 тыс. руб. и с учетом изменений составят  доходы – 645861,5 тыс. рублей, расходы – 645861,5 тыс. рублей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предусматривается увеличение доходов бюджета округа  в 202</w:t>
      </w:r>
      <w:r w:rsidR="000E5DE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общую сумму </w:t>
      </w:r>
      <w:r w:rsidR="00AA5447">
        <w:rPr>
          <w:rFonts w:ascii="Times New Roman" w:eastAsia="Times New Roman" w:hAnsi="Times New Roman"/>
          <w:sz w:val="28"/>
          <w:szCs w:val="28"/>
          <w:lang w:eastAsia="ar-SA"/>
        </w:rPr>
        <w:t>97382,1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</w:t>
      </w:r>
      <w:r w:rsidR="000E5DEF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0E5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</w:t>
            </w:r>
            <w:r w:rsidR="000E5D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AA5447" w:rsidRPr="000E5DEF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447" w:rsidRPr="000E5DEF" w:rsidRDefault="00AA5447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447" w:rsidRPr="000E5DEF" w:rsidRDefault="00AA5447" w:rsidP="00112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208335,0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447" w:rsidRPr="000E5DEF" w:rsidRDefault="00AA5447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226762,6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447" w:rsidRPr="000E5DEF" w:rsidRDefault="00AA5447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+18427,6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830722,6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909677,1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AA54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78954,5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158075,6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159925,6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+1850,0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482308,6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559891,5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Default="00AA5447" w:rsidP="00AA54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+77582,9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190023,4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189515,0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Pr="002C3B76" w:rsidRDefault="00AA5447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-508,4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Pr="002C3B76" w:rsidRDefault="00AA5447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Б</w:t>
            </w: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езвозмездные поступления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от негосударственных организаций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Default="00AA5447" w:rsidP="00AA54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+30,0</w:t>
            </w:r>
          </w:p>
        </w:tc>
      </w:tr>
      <w:tr w:rsidR="00AA5447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7A5920" w:rsidRDefault="00AA5447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112C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5447" w:rsidRPr="002C0FE5" w:rsidRDefault="00AA5447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5447" w:rsidRPr="002C3B76" w:rsidRDefault="00AA5447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F01B8" w:rsidRDefault="006F01B8" w:rsidP="003A1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F01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Уточнения решения о бюджете округа на 2025 год вызваны уточнением объема безвозмездных поступлений и обусловлено Законом Вологодской области от 10.04.2025 № 5832-ОЗ  «О внесении изменений в закон области «Об областном бюджете на 2025 год и плановый период 2026 и 2027 годов».</w:t>
      </w:r>
    </w:p>
    <w:p w:rsidR="00AA5447" w:rsidRDefault="00AA5447" w:rsidP="003A19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налоговые и неналоговые доходы увеличены на сумму 18427,6 тыс.руб</w:t>
      </w:r>
      <w:r w:rsidR="007B07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связи с фактическим поступлением </w:t>
      </w:r>
      <w:r w:rsidR="007B0761">
        <w:rPr>
          <w:rFonts w:ascii="Times New Roman" w:hAnsi="Times New Roman"/>
          <w:sz w:val="28"/>
          <w:szCs w:val="28"/>
        </w:rPr>
        <w:t>в бюджет округа собственных доходов</w:t>
      </w:r>
      <w:r w:rsidR="00921F16">
        <w:rPr>
          <w:rFonts w:ascii="Times New Roman" w:hAnsi="Times New Roman"/>
          <w:sz w:val="28"/>
          <w:szCs w:val="28"/>
        </w:rPr>
        <w:t xml:space="preserve"> (НДФЛ +12216,6 тыс.руб., доходы от реализации имущества находящегося в оперативном управлении +11,0 тыс.руб., плата за негативное воздействие на окружающую среду +6200,0 тыс.руб</w:t>
      </w:r>
      <w:r w:rsidR="007B0761">
        <w:rPr>
          <w:rFonts w:ascii="Times New Roman" w:hAnsi="Times New Roman"/>
          <w:sz w:val="28"/>
          <w:szCs w:val="28"/>
        </w:rPr>
        <w:t>.</w:t>
      </w:r>
      <w:r w:rsidR="00921F16">
        <w:rPr>
          <w:rFonts w:ascii="Times New Roman" w:hAnsi="Times New Roman"/>
          <w:sz w:val="28"/>
          <w:szCs w:val="28"/>
        </w:rPr>
        <w:t xml:space="preserve">) </w:t>
      </w:r>
    </w:p>
    <w:p w:rsidR="00C06E06" w:rsidRDefault="007A5920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6D6965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основании вышеизложенного внесение изменений в бюджет округа на 202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5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5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год составят </w:t>
      </w:r>
      <w:r w:rsidR="007B076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909677,1</w:t>
      </w:r>
      <w:r w:rsidR="00C06E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7B0761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тыс. руб</w:t>
      </w:r>
      <w:r w:rsidR="00921F1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  <w:r w:rsidR="007B0761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, по налоговым и неналоговым доходам 226762,6 тыс.руб.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</w:p>
    <w:p w:rsidR="002908FD" w:rsidRDefault="00C06E06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Общая  суммам доходов бюджета составит </w:t>
      </w:r>
      <w:r w:rsidR="00921F1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1136439,7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</w:t>
      </w:r>
      <w:r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932A34" w:rsidRPr="0010240F" w:rsidRDefault="00932A34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 соответствии с поправками в областной бюджет поступлений в плановом периоде 2026 года и 2027 года снизятся на 17130,4 тыс. руб. ежегодно по разделу «Субсидии бюджетам бюджетной системы РФ».</w:t>
      </w:r>
    </w:p>
    <w:p w:rsidR="008F1133" w:rsidRPr="008F1133" w:rsidRDefault="008F1133" w:rsidP="008F113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2C0FE5" w:rsidRPr="003A19F8" w:rsidRDefault="002C0FE5" w:rsidP="008F1133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3A19F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4E0082" w:rsidRDefault="002C0FE5" w:rsidP="004E0082">
      <w:pPr>
        <w:suppressAutoHyphens/>
        <w:spacing w:after="0" w:line="20" w:lineRule="atLeast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4E0082" w:rsidRDefault="002C0FE5" w:rsidP="004E0082">
      <w:pPr>
        <w:suppressAutoHyphens/>
        <w:spacing w:after="0" w:line="20" w:lineRule="atLeast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 w:rsidRPr="004E0082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01783" w:rsidRPr="004E0082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80 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«О бюджете </w:t>
      </w:r>
      <w:r w:rsidR="00685616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>2025 год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и плановый период 202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="00405070" w:rsidRPr="004E0082">
        <w:rPr>
          <w:rFonts w:ascii="Times New Roman" w:eastAsia="Times New Roman" w:hAnsi="Times New Roman"/>
          <w:sz w:val="28"/>
          <w:szCs w:val="28"/>
          <w:lang w:eastAsia="ar-SA"/>
        </w:rPr>
        <w:t>и 202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05070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( в педакции от 01.04.2025г. № 11)</w:t>
      </w:r>
      <w:r w:rsidR="00D6147B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4E0082" w:rsidRDefault="002C0FE5" w:rsidP="004E0082">
      <w:pPr>
        <w:suppressAutoHyphens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>1066256,6</w:t>
      </w:r>
      <w:r w:rsidR="00405070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4E0082" w:rsidRDefault="002C0FE5" w:rsidP="004E0082">
      <w:pPr>
        <w:suppressAutoHyphens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3D00F7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>27199,0 тыс.руб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4E0082" w:rsidRDefault="002C0FE5" w:rsidP="004E0082">
      <w:pPr>
        <w:suppressAutoHyphens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  <w:t>Проектом решения о внесении изменений предлагается утвердить:</w:t>
      </w:r>
    </w:p>
    <w:p w:rsidR="002C0FE5" w:rsidRPr="004E0082" w:rsidRDefault="002C0FE5" w:rsidP="004E0082">
      <w:pPr>
        <w:suppressAutoHyphens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>1163638,7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4E0082" w:rsidRDefault="002C0FE5" w:rsidP="004E0082">
      <w:pPr>
        <w:suppressAutoHyphens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>- размер дефицита бюджета округа</w:t>
      </w:r>
      <w:r w:rsidR="004E0082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изменился -</w:t>
      </w:r>
      <w:r w:rsidR="00F01783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F4F69" w:rsidRPr="004E0082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="00F01783"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тыс.рублей</w:t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4E0082">
      <w:pPr>
        <w:spacing w:after="0" w:line="2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E0082">
        <w:rPr>
          <w:rFonts w:ascii="Times New Roman" w:eastAsia="Times New Roman" w:hAnsi="Times New Roman"/>
          <w:sz w:val="28"/>
          <w:szCs w:val="28"/>
          <w:lang w:eastAsia="ar-SA"/>
        </w:rPr>
        <w:tab/>
        <w:t>Размеры уточнений по разделам подразделам функциональной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классификации расходов на 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515B2A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</w:t>
      </w: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8860" w:type="dxa"/>
        <w:tblInd w:w="96" w:type="dxa"/>
        <w:tblLook w:val="04A0"/>
      </w:tblPr>
      <w:tblGrid>
        <w:gridCol w:w="4180"/>
        <w:gridCol w:w="2028"/>
        <w:gridCol w:w="1336"/>
        <w:gridCol w:w="1665"/>
      </w:tblGrid>
      <w:tr w:rsidR="004E0082" w:rsidRPr="004E0082" w:rsidTr="004E0082">
        <w:trPr>
          <w:trHeight w:val="138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E008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решением Представительного Собрания от 01.04.2025 № 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Изменения к утвержденному решению</w:t>
            </w:r>
          </w:p>
        </w:tc>
      </w:tr>
      <w:tr w:rsidR="004E0082" w:rsidRPr="004E0082" w:rsidTr="004E0082">
        <w:trPr>
          <w:trHeight w:val="56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117546,7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119976,5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2429,8</w:t>
            </w:r>
          </w:p>
        </w:tc>
      </w:tr>
      <w:tr w:rsidR="004E0082" w:rsidRPr="004E0082" w:rsidTr="004E0082">
        <w:trPr>
          <w:trHeight w:val="81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2438,5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2438,5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106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57247,6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57247,6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10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13236,5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13236,5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7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44582,3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47012,1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2429,8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943,2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943,2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943,2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82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14840,9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14836,1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-4,8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74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3242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81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правоохраниельной деятельности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11139,9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11135,1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-4,8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64604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64970,7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366,7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Транспорт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3820,4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3820,2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-0,2</w:t>
            </w:r>
          </w:p>
        </w:tc>
      </w:tr>
      <w:tr w:rsidR="004E0082" w:rsidRPr="004E0082" w:rsidTr="004E0082">
        <w:trPr>
          <w:trHeight w:val="34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54078,1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54078,1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55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Жругие вопросы в области национальной экономики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6705,5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7072,4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366,9</w:t>
            </w:r>
          </w:p>
        </w:tc>
      </w:tr>
      <w:tr w:rsidR="004E0082" w:rsidRPr="004E0082" w:rsidTr="004E0082">
        <w:trPr>
          <w:trHeight w:val="56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431605,6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453859,6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22254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11752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-11752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361844,8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393227,8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31383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58008,8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60631,8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2623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301,5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5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301,5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301,5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343627,6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348634,8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5007,2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105025,2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105025,2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186794,9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191762,1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4967,2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29819,5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29819,5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822,6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822,6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1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21165,4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21205,4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56524,1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56524,1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56524,1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56524,1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2030,4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1990,4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-40</w:t>
            </w:r>
          </w:p>
        </w:tc>
      </w:tr>
      <w:tr w:rsidR="004E0082" w:rsidRPr="004E0082" w:rsidTr="004E0082">
        <w:trPr>
          <w:trHeight w:val="55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Санитарно-эпидемиологическое благополучие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260,4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260,4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27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1770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1730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-40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14214,9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927,1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3414,4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3414,4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10085,5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11012,6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927,1</w:t>
            </w:r>
          </w:p>
        </w:tc>
      </w:tr>
      <w:tr w:rsidR="004E0082" w:rsidRPr="004E0082" w:rsidTr="004E0082">
        <w:trPr>
          <w:trHeight w:val="55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4E0082" w:rsidRPr="004E0082" w:rsidTr="004E0082">
        <w:trPr>
          <w:trHeight w:val="37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20017,6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86459,8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66442,2</w:t>
            </w:r>
          </w:p>
        </w:tc>
      </w:tr>
      <w:tr w:rsidR="004E0082" w:rsidRPr="004E0082" w:rsidTr="004E0082">
        <w:trPr>
          <w:trHeight w:val="32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20017,6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86459,8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color w:val="000000"/>
                <w:lang w:eastAsia="ru-RU"/>
              </w:rPr>
              <w:t>66442,2</w:t>
            </w:r>
          </w:p>
        </w:tc>
      </w:tr>
      <w:tr w:rsidR="004E0082" w:rsidRPr="004E0082" w:rsidTr="004E0082">
        <w:trPr>
          <w:trHeight w:val="33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1066256,5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1163638,7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0082" w:rsidRPr="004E0082" w:rsidRDefault="004E0082" w:rsidP="004E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97382,3</w:t>
            </w:r>
          </w:p>
        </w:tc>
      </w:tr>
    </w:tbl>
    <w:p w:rsidR="004E0082" w:rsidRDefault="004E0082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9E05D3" w:rsidRDefault="00D90CED" w:rsidP="0010240F">
      <w:pPr>
        <w:spacing w:after="0"/>
        <w:ind w:firstLine="709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</w:pP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Проведенным анализом изменений расходной части бюджета округа установлено, что сумма расходных ассигнований бюджета </w:t>
      </w:r>
      <w:r w:rsidR="007E001D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Чагодощенского 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муниципального округа в целом увеличена на сумму </w:t>
      </w:r>
      <w:r w:rsidR="007A6303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97382,1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="009E05D3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.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счет средств областного бюджета в сумме </w:t>
      </w:r>
      <w:r w:rsidR="007A6303">
        <w:rPr>
          <w:rFonts w:ascii="Times New Roman" w:eastAsia="Times New Roman" w:hAnsi="Times New Roman"/>
          <w:b/>
          <w:sz w:val="28"/>
          <w:szCs w:val="28"/>
          <w:lang w:eastAsia="ru-RU"/>
        </w:rPr>
        <w:t>78924,5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тыс.руб.: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дотация на поддержку мер по обеспечению сбалансированности местных бюджетов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+1 850,0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(компенсация расходов по предоставлению МСП гражданам, заключившим контракт на СВО);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–4 812,4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переселение граждан из аварийного жилищного фонда за счет средств областного бюджета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–6 939,6 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>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обустройство мест захоронений в муниципальных образованиях области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+1 923,0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на организацию транспортного обслуживания населения на муниципальных маршрутах регулярных перевозок по регулируемым маршрутам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–0,2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на строительство, реконструкцию и капитальный ремонт объектов коммунальной инфраструктуры в рамках федерального проекта «Модернизация коммунальной инфраструктуры»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+25 091,7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(кап. ремонт систем тепло- и водоснабжения в д. Анишино);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субсидия на реконструкцию, капитальный ремонт и ремонт объектов физической культуры и спорта и оснащение объектов спортивной инфраструктуры спортивно-технологическим оборудованием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+56 289,8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(кап. ремонт спортивного стадиона в п. Сазоново);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на строительство, реконструкцию и капитальный ремонт централизованных систем водоснабжения и водоотведения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+5 664,0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(реконструкция канализационных очистных сооружений);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на подготовку проектов межевания земельных участков и проведение кадастровых работ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+366,6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субвенция на общеобразовательный процесс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–1 130,8 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субвенция на предоставление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+622,4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средств бюджета округа в сумме 18 457,6 тыс.руб.: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открытой спортивной площадки в п. Борисово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+9 852,4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кровли здания 2-го корпуса МБОУ «ЧСОШ»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+5 977,9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здания почты в п. Смердомский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+2 030,0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строительного контроля за следующими объектами: 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кровли здания 2-го корпуса МБОУ «ЧСОШ»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+120,0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сетей теплоснабжения, водоснабжения д. Анишино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+150,0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к субсидии на «Капитальный ремонт систем тепло- и водоснабжения в д. Анишино»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–72,7 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>тыс.руб. (приведено в соответствие с соглашением);</w:t>
      </w:r>
    </w:p>
    <w:p w:rsidR="007A6303" w:rsidRDefault="007A6303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границ населенных пунктов </w:t>
      </w:r>
      <w:r w:rsidRPr="007A6303">
        <w:rPr>
          <w:rFonts w:ascii="Times New Roman" w:eastAsia="Times New Roman" w:hAnsi="Times New Roman"/>
          <w:b/>
          <w:sz w:val="28"/>
          <w:szCs w:val="28"/>
          <w:lang w:eastAsia="ru-RU"/>
        </w:rPr>
        <w:t>+400,0</w:t>
      </w:r>
      <w:r w:rsidRPr="007A63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932A34" w:rsidRPr="007A6303" w:rsidRDefault="00932A34" w:rsidP="007A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Снижение планируется в плановом периоде 2026-2027 год на 17130,4 тыс. руб. ежегодно за счет средств областного бюджета.</w:t>
      </w:r>
    </w:p>
    <w:p w:rsidR="00472678" w:rsidRPr="00472678" w:rsidRDefault="008E10BB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9E05D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 представлены в таблице №</w:t>
      </w:r>
      <w:r w:rsidR="009E05D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72678" w:rsidRPr="005B020B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</w:t>
      </w:r>
      <w:r w:rsidR="00285770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5B020B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3A19F8" w:rsidP="005B0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решением Представительного Собрания от 01.04.2025 № 11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854ADA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ADA" w:rsidRPr="005B020B" w:rsidRDefault="00854ADA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ADA" w:rsidRPr="005B020B" w:rsidRDefault="00854AD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54ADA" w:rsidRPr="005B020B" w:rsidRDefault="00854ADA" w:rsidP="00112C37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1052985,2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ADA" w:rsidRPr="005B020B" w:rsidRDefault="00854AD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1052985,2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4ADA" w:rsidRPr="005B020B" w:rsidRDefault="00571CDA" w:rsidP="005B020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97382,1</w:t>
            </w:r>
          </w:p>
        </w:tc>
      </w:tr>
      <w:tr w:rsidR="00854ADA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ADA" w:rsidRPr="005B020B" w:rsidRDefault="00571CDA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97</w:t>
            </w:r>
            <w:r w:rsidR="00854ADA" w:rsidRPr="005B020B">
              <w:rPr>
                <w:rFonts w:ascii="Times New Roman" w:hAnsi="Times New Roman"/>
                <w:bCs/>
                <w:iCs/>
                <w:color w:val="000000"/>
              </w:rPr>
              <w:t>268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ADA" w:rsidRPr="005B020B" w:rsidRDefault="00854AD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Чагодское территориальное управление  Администрация Чагодощенского муниципального 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ADA" w:rsidRPr="005B020B" w:rsidRDefault="00854ADA" w:rsidP="00112C3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34647,1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ADA" w:rsidRPr="005B020B" w:rsidRDefault="00854AD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36570,1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854ADA" w:rsidRPr="005B020B" w:rsidRDefault="00571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1923</w:t>
            </w:r>
          </w:p>
        </w:tc>
      </w:tr>
      <w:tr w:rsidR="00854ADA" w:rsidRPr="005B020B" w:rsidTr="005B020B">
        <w:trPr>
          <w:trHeight w:val="893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54ADA" w:rsidRPr="005B020B" w:rsidRDefault="00854ADA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ADA" w:rsidRPr="005B020B" w:rsidRDefault="00854AD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54ADA" w:rsidRPr="005B020B" w:rsidRDefault="00854ADA" w:rsidP="00112C3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583216,9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54ADA" w:rsidRPr="005B020B" w:rsidRDefault="00873B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672319,9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54ADA" w:rsidRPr="005B020B" w:rsidRDefault="00571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89103,0</w:t>
            </w:r>
          </w:p>
        </w:tc>
      </w:tr>
      <w:tr w:rsidR="00873B8A" w:rsidRPr="005B020B" w:rsidTr="005B020B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 w:rsidP="005B020B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Управление образования а</w:t>
            </w: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дминистрации Чагодощенского муниципального округа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 w:rsidP="00112C3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321504,6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 w:rsidP="00112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326471,7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3B8A" w:rsidRPr="005B020B" w:rsidRDefault="00571CDA" w:rsidP="00571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4967,1</w:t>
            </w:r>
          </w:p>
        </w:tc>
      </w:tr>
      <w:tr w:rsidR="00873B8A" w:rsidRPr="00472678" w:rsidTr="005B020B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Комитет по управлению имуществом а</w:t>
            </w: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дминистрации Чагодощенского муниципального 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 w:rsidP="00112C3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9041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73B8A" w:rsidRPr="005B020B" w:rsidRDefault="00873B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10429,9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73B8A" w:rsidRPr="005B020B" w:rsidRDefault="00571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1388,9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увеличением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571CD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97382,1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руб. по </w:t>
      </w:r>
      <w:r w:rsidR="00571CD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четырем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главным распорядителям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бюджетных средств.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7448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«Распределение бюджетных ассигнований на реализацию муниципальных программ на 20</w:t>
      </w:r>
      <w:r w:rsidR="00FB6B3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</w:t>
      </w:r>
      <w:r w:rsidR="00AA0D9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 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году  представлены в таблице №</w:t>
      </w:r>
      <w:r w:rsidR="005E1F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5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360" w:type="dxa"/>
        <w:tblInd w:w="96" w:type="dxa"/>
        <w:tblLook w:val="04A0"/>
      </w:tblPr>
      <w:tblGrid>
        <w:gridCol w:w="3420"/>
        <w:gridCol w:w="2180"/>
        <w:gridCol w:w="2220"/>
        <w:gridCol w:w="1540"/>
      </w:tblGrid>
      <w:tr w:rsidR="00674673" w:rsidRPr="00674673" w:rsidTr="00674673">
        <w:trPr>
          <w:trHeight w:val="900"/>
        </w:trPr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571CDA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00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решением Представительного Собрания от 01.04.2025 № 11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</w:tr>
      <w:tr w:rsidR="00674673" w:rsidRPr="00674673" w:rsidTr="00674673">
        <w:trPr>
          <w:trHeight w:val="300"/>
        </w:trPr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71CDA" w:rsidRPr="00674673" w:rsidTr="0067467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787377,7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884759,9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AA0D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97382,1</w:t>
            </w:r>
          </w:p>
        </w:tc>
      </w:tr>
      <w:tr w:rsidR="00571CDA" w:rsidRPr="00674673" w:rsidTr="00674673">
        <w:trPr>
          <w:trHeight w:val="122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10860,9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14279,8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3418,9</w:t>
            </w:r>
          </w:p>
        </w:tc>
      </w:tr>
      <w:tr w:rsidR="00571CDA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2023-2026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374046,8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393127,8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19081,0</w:t>
            </w:r>
          </w:p>
        </w:tc>
      </w:tr>
      <w:tr w:rsidR="00571CDA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 Чагодощенского муниципального округа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49948,6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51871,6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1923,0</w:t>
            </w:r>
          </w:p>
        </w:tc>
      </w:tr>
      <w:tr w:rsidR="00571CDA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2025-2030 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321071,6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326038,7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4967,1</w:t>
            </w:r>
          </w:p>
        </w:tc>
      </w:tr>
      <w:tr w:rsidR="00571CDA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 и спорта в в Чагодощенского муниципального округе на 2023-2027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198</w:t>
            </w:r>
            <w:r w:rsidR="00571CDA"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46,3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85988,5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66142,2</w:t>
            </w:r>
          </w:p>
        </w:tc>
      </w:tr>
      <w:tr w:rsidR="00571CDA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Чагодощенского муниципального округа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112C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11603,5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13453,5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DA" w:rsidRPr="00674673" w:rsidRDefault="00AA0D94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1850,0</w:t>
            </w:r>
          </w:p>
        </w:tc>
      </w:tr>
      <w:tr w:rsidR="00571CDA" w:rsidRPr="00674673" w:rsidTr="00674673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112C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DA" w:rsidRPr="00674673" w:rsidRDefault="00571CDA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651DB" w:rsidRDefault="007651DB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AE0FCB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>Проект решения предусматривает изменения в 202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году по </w:t>
      </w:r>
      <w:r w:rsidR="00AA0D9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</w:t>
      </w:r>
      <w:r w:rsidR="0065138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муниципальным программам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планируется увеличение бюджетных назначений в целом на </w:t>
      </w:r>
      <w:r w:rsidR="00AA0D9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9738</w:t>
      </w:r>
      <w:r w:rsidR="00AC153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AA0D9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,1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тыс. рублей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или на </w:t>
      </w:r>
      <w:r w:rsidR="00AC153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9,2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 вносимых изменений в 202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65138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1159511,5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4A6333" w:rsidRDefault="002C0FE5" w:rsidP="00651381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результате анализа вносимы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 изменений в бюджет округа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и плановый период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годов, расхождений с требованиями бюджетного законодательства </w:t>
      </w:r>
      <w:r w:rsidR="0086109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 w:rsidR="0086109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C0FE5" w:rsidRPr="002C0FE5" w:rsidRDefault="002C0FE5" w:rsidP="00792B71">
      <w:pPr>
        <w:suppressAutoHyphens/>
        <w:spacing w:after="0" w:line="240" w:lineRule="auto"/>
        <w:ind w:firstLine="432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6F083A" w:rsidRDefault="006F083A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0C064D" w:rsidRDefault="002C0FE5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в 202</w:t>
      </w:r>
      <w:r w:rsidR="006F08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5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году:</w:t>
      </w:r>
    </w:p>
    <w:p w:rsidR="002C0FE5" w:rsidRPr="000C064D" w:rsidRDefault="002C0FE5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1136439,7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97382,1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>тыс. рублей),</w:t>
      </w:r>
    </w:p>
    <w:p w:rsidR="002C0FE5" w:rsidRPr="002C0FE5" w:rsidRDefault="002C0FE5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1163638,7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97382,1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Default="002C0FE5" w:rsidP="00651381">
      <w:pPr>
        <w:numPr>
          <w:ilvl w:val="1"/>
          <w:numId w:val="5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651381" w:rsidRPr="00651381" w:rsidRDefault="00651381" w:rsidP="00651381">
      <w:pPr>
        <w:numPr>
          <w:ilvl w:val="1"/>
          <w:numId w:val="5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513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2026 году:</w:t>
      </w:r>
    </w:p>
    <w:p w:rsidR="00651381" w:rsidRPr="000C064D" w:rsidRDefault="00651381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803893,6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17130,4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651381" w:rsidRPr="002C0FE5" w:rsidRDefault="00651381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803893,6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17130,4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рублей),</w:t>
      </w:r>
    </w:p>
    <w:p w:rsidR="00651381" w:rsidRDefault="00651381" w:rsidP="00651381">
      <w:pPr>
        <w:numPr>
          <w:ilvl w:val="1"/>
          <w:numId w:val="5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651381" w:rsidRDefault="00651381" w:rsidP="00651381">
      <w:pPr>
        <w:numPr>
          <w:ilvl w:val="1"/>
          <w:numId w:val="5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38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2027 году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651381" w:rsidRPr="000C064D" w:rsidRDefault="00651381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доходы 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645861,5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17130,4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651381" w:rsidRPr="002C0FE5" w:rsidRDefault="00651381" w:rsidP="00651381">
      <w:pPr>
        <w:numPr>
          <w:ilvl w:val="1"/>
          <w:numId w:val="2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645861,5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17130,4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рублей),</w:t>
      </w:r>
    </w:p>
    <w:p w:rsidR="00651381" w:rsidRDefault="00651381" w:rsidP="00651381">
      <w:pPr>
        <w:numPr>
          <w:ilvl w:val="1"/>
          <w:numId w:val="5"/>
        </w:numPr>
        <w:suppressAutoHyphens/>
        <w:autoSpaceDE w:val="0"/>
        <w:spacing w:after="0" w:line="240" w:lineRule="auto"/>
        <w:ind w:left="1083"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651381" w:rsidRDefault="00651381" w:rsidP="00651381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1381" w:rsidRDefault="001926AD" w:rsidP="00651381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C1534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</w:t>
      </w:r>
      <w:r w:rsidR="0065138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увеличен на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78954,5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909677,1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налоговым и неналоговым доходам план </w:t>
      </w:r>
      <w:r w:rsidR="00651381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— увеличен на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18427,6</w:t>
      </w:r>
      <w:r w:rsidR="00651381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="00651381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226762,6</w:t>
      </w:r>
      <w:r w:rsidR="00651381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65138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C1534" w:rsidRDefault="00AC1534" w:rsidP="00651381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2.План по расходам увеличен </w:t>
      </w:r>
      <w:r w:rsidR="00675B72">
        <w:rPr>
          <w:rFonts w:ascii="Times New Roman" w:eastAsia="Times New Roman" w:hAnsi="Times New Roman"/>
          <w:sz w:val="28"/>
          <w:szCs w:val="28"/>
          <w:lang w:eastAsia="ar-SA"/>
        </w:rPr>
        <w:t xml:space="preserve">на 97382,1 тыс. руб. и </w:t>
      </w:r>
      <w:r w:rsidR="00675B72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запланирован в размере </w:t>
      </w:r>
      <w:r w:rsidR="00675B72">
        <w:rPr>
          <w:rFonts w:ascii="Times New Roman" w:eastAsia="Times New Roman" w:hAnsi="Times New Roman"/>
          <w:sz w:val="28"/>
          <w:szCs w:val="28"/>
          <w:lang w:eastAsia="ar-SA"/>
        </w:rPr>
        <w:t>1163638,7 тыс.руб.</w:t>
      </w:r>
    </w:p>
    <w:p w:rsidR="001926AD" w:rsidRDefault="00AC1534" w:rsidP="00651381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3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реализацию муниципальных программ в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2025 г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оду 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увелич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>ить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97382,1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1159511,5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муниципальным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0FE5" w:rsidRDefault="00411575" w:rsidP="00411575">
      <w:pPr>
        <w:pStyle w:val="a8"/>
        <w:tabs>
          <w:tab w:val="left" w:pos="-54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2C0FE5" w:rsidRPr="002C0FE5" w:rsidRDefault="00675B72" w:rsidP="00675B72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1926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</w:t>
      </w:r>
      <w:r w:rsidR="004812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рекомендован к принятию </w:t>
      </w:r>
      <w:r w:rsidR="00501E1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учетом </w:t>
      </w:r>
      <w:r w:rsidR="004812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замечаний</w:t>
      </w:r>
      <w:r w:rsidR="00501E1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изложенных в настоящем заключени</w:t>
      </w:r>
      <w:r w:rsidR="002B2E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2C0FE5" w:rsidRPr="002C0FE5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p w:rsidR="00D933F2" w:rsidRDefault="00D933F2"/>
    <w:sectPr w:rsidR="00D933F2" w:rsidSect="001926AD">
      <w:footerReference w:type="default" r:id="rId8"/>
      <w:pgSz w:w="11906" w:h="16838"/>
      <w:pgMar w:top="284" w:right="850" w:bottom="1276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B3" w:rsidRDefault="00FB5EB3">
      <w:pPr>
        <w:spacing w:after="0" w:line="240" w:lineRule="auto"/>
      </w:pPr>
      <w:r>
        <w:separator/>
      </w:r>
    </w:p>
  </w:endnote>
  <w:endnote w:type="continuationSeparator" w:id="1">
    <w:p w:rsidR="00FB5EB3" w:rsidRDefault="00FB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E3" w:rsidRDefault="001D33E3">
    <w:pPr>
      <w:pStyle w:val="a3"/>
      <w:jc w:val="center"/>
    </w:pPr>
    <w:fldSimple w:instr=" PAGE ">
      <w:r w:rsidR="00932A34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B3" w:rsidRDefault="00FB5EB3">
      <w:pPr>
        <w:spacing w:after="0" w:line="240" w:lineRule="auto"/>
      </w:pPr>
      <w:r>
        <w:separator/>
      </w:r>
    </w:p>
  </w:footnote>
  <w:footnote w:type="continuationSeparator" w:id="1">
    <w:p w:rsidR="00FB5EB3" w:rsidRDefault="00FB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7F10CA0"/>
    <w:multiLevelType w:val="hybridMultilevel"/>
    <w:tmpl w:val="717C09DE"/>
    <w:lvl w:ilvl="0" w:tplc="0A6A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6506D"/>
    <w:rsid w:val="000656A3"/>
    <w:rsid w:val="000740DA"/>
    <w:rsid w:val="00080A67"/>
    <w:rsid w:val="0008307C"/>
    <w:rsid w:val="00083D87"/>
    <w:rsid w:val="00090871"/>
    <w:rsid w:val="00093170"/>
    <w:rsid w:val="000A0940"/>
    <w:rsid w:val="000A213F"/>
    <w:rsid w:val="000A7C10"/>
    <w:rsid w:val="000B2351"/>
    <w:rsid w:val="000C064D"/>
    <w:rsid w:val="000E5DEF"/>
    <w:rsid w:val="000F4560"/>
    <w:rsid w:val="000F79FD"/>
    <w:rsid w:val="0010240F"/>
    <w:rsid w:val="00105D69"/>
    <w:rsid w:val="00114210"/>
    <w:rsid w:val="00137B9D"/>
    <w:rsid w:val="00165EC6"/>
    <w:rsid w:val="00172F87"/>
    <w:rsid w:val="00177A9F"/>
    <w:rsid w:val="00190D49"/>
    <w:rsid w:val="001926AD"/>
    <w:rsid w:val="001A4EE7"/>
    <w:rsid w:val="001A6B10"/>
    <w:rsid w:val="001D1ECA"/>
    <w:rsid w:val="001D33E3"/>
    <w:rsid w:val="002048E6"/>
    <w:rsid w:val="00226450"/>
    <w:rsid w:val="002351CA"/>
    <w:rsid w:val="00250529"/>
    <w:rsid w:val="00253777"/>
    <w:rsid w:val="00270C1F"/>
    <w:rsid w:val="00285770"/>
    <w:rsid w:val="002908FD"/>
    <w:rsid w:val="002968B9"/>
    <w:rsid w:val="00296C45"/>
    <w:rsid w:val="002A3AFA"/>
    <w:rsid w:val="002B2ECF"/>
    <w:rsid w:val="002C0FE5"/>
    <w:rsid w:val="002C3B76"/>
    <w:rsid w:val="002C5F26"/>
    <w:rsid w:val="003238D2"/>
    <w:rsid w:val="003459DE"/>
    <w:rsid w:val="00355877"/>
    <w:rsid w:val="003638AF"/>
    <w:rsid w:val="00370CB7"/>
    <w:rsid w:val="00395205"/>
    <w:rsid w:val="00395E0F"/>
    <w:rsid w:val="003A19F8"/>
    <w:rsid w:val="003A476E"/>
    <w:rsid w:val="003A68C8"/>
    <w:rsid w:val="003B382C"/>
    <w:rsid w:val="003D00F7"/>
    <w:rsid w:val="003F3C99"/>
    <w:rsid w:val="004022C0"/>
    <w:rsid w:val="00405070"/>
    <w:rsid w:val="00411575"/>
    <w:rsid w:val="00427172"/>
    <w:rsid w:val="0043247F"/>
    <w:rsid w:val="00451591"/>
    <w:rsid w:val="00452832"/>
    <w:rsid w:val="00470A79"/>
    <w:rsid w:val="00472678"/>
    <w:rsid w:val="00474AE2"/>
    <w:rsid w:val="0048122A"/>
    <w:rsid w:val="004856F6"/>
    <w:rsid w:val="00492A45"/>
    <w:rsid w:val="004942A1"/>
    <w:rsid w:val="004A6333"/>
    <w:rsid w:val="004B062D"/>
    <w:rsid w:val="004C6185"/>
    <w:rsid w:val="004C6273"/>
    <w:rsid w:val="004D099B"/>
    <w:rsid w:val="004D1B30"/>
    <w:rsid w:val="004D4CB3"/>
    <w:rsid w:val="004E0082"/>
    <w:rsid w:val="004E3821"/>
    <w:rsid w:val="004F09D4"/>
    <w:rsid w:val="004F543F"/>
    <w:rsid w:val="0050005F"/>
    <w:rsid w:val="00501E10"/>
    <w:rsid w:val="00501EDD"/>
    <w:rsid w:val="00515B2A"/>
    <w:rsid w:val="00516E23"/>
    <w:rsid w:val="00517B58"/>
    <w:rsid w:val="00520EB8"/>
    <w:rsid w:val="005322D1"/>
    <w:rsid w:val="0053673B"/>
    <w:rsid w:val="00553974"/>
    <w:rsid w:val="005620BB"/>
    <w:rsid w:val="005645E6"/>
    <w:rsid w:val="00571CDA"/>
    <w:rsid w:val="00575B26"/>
    <w:rsid w:val="005843E5"/>
    <w:rsid w:val="00594A54"/>
    <w:rsid w:val="005B020B"/>
    <w:rsid w:val="005D4A35"/>
    <w:rsid w:val="005D64FE"/>
    <w:rsid w:val="005E1F2E"/>
    <w:rsid w:val="005E5353"/>
    <w:rsid w:val="005E7E31"/>
    <w:rsid w:val="005F263E"/>
    <w:rsid w:val="005F6FBC"/>
    <w:rsid w:val="00603531"/>
    <w:rsid w:val="00604D68"/>
    <w:rsid w:val="0060687E"/>
    <w:rsid w:val="006205CA"/>
    <w:rsid w:val="0062582F"/>
    <w:rsid w:val="00633CFA"/>
    <w:rsid w:val="00647161"/>
    <w:rsid w:val="00651381"/>
    <w:rsid w:val="00660CAD"/>
    <w:rsid w:val="00674673"/>
    <w:rsid w:val="00675B72"/>
    <w:rsid w:val="00676883"/>
    <w:rsid w:val="00685616"/>
    <w:rsid w:val="0068788D"/>
    <w:rsid w:val="00693B9E"/>
    <w:rsid w:val="006A0FB8"/>
    <w:rsid w:val="006C23D0"/>
    <w:rsid w:val="006D1AAB"/>
    <w:rsid w:val="006D6965"/>
    <w:rsid w:val="006E1F89"/>
    <w:rsid w:val="006F01B8"/>
    <w:rsid w:val="006F083A"/>
    <w:rsid w:val="006F41D5"/>
    <w:rsid w:val="006F4C7B"/>
    <w:rsid w:val="006F4D11"/>
    <w:rsid w:val="00712F2E"/>
    <w:rsid w:val="00744868"/>
    <w:rsid w:val="00755856"/>
    <w:rsid w:val="007651DB"/>
    <w:rsid w:val="00772A4F"/>
    <w:rsid w:val="00781EB5"/>
    <w:rsid w:val="00782E10"/>
    <w:rsid w:val="00792B71"/>
    <w:rsid w:val="007A5920"/>
    <w:rsid w:val="007A6303"/>
    <w:rsid w:val="007A707C"/>
    <w:rsid w:val="007B0761"/>
    <w:rsid w:val="007B3AC8"/>
    <w:rsid w:val="007B6BE8"/>
    <w:rsid w:val="007C2558"/>
    <w:rsid w:val="007C3B02"/>
    <w:rsid w:val="007D47D6"/>
    <w:rsid w:val="007D5833"/>
    <w:rsid w:val="007E001D"/>
    <w:rsid w:val="007E4875"/>
    <w:rsid w:val="008123CD"/>
    <w:rsid w:val="0081526B"/>
    <w:rsid w:val="00815605"/>
    <w:rsid w:val="00820FEC"/>
    <w:rsid w:val="00840BF3"/>
    <w:rsid w:val="00854ADA"/>
    <w:rsid w:val="00856218"/>
    <w:rsid w:val="0086109F"/>
    <w:rsid w:val="00865681"/>
    <w:rsid w:val="00866CE3"/>
    <w:rsid w:val="008673F7"/>
    <w:rsid w:val="00873B8A"/>
    <w:rsid w:val="00894411"/>
    <w:rsid w:val="008A0D30"/>
    <w:rsid w:val="008A1D53"/>
    <w:rsid w:val="008A22EB"/>
    <w:rsid w:val="008A6CA5"/>
    <w:rsid w:val="008A6D9D"/>
    <w:rsid w:val="008B29F6"/>
    <w:rsid w:val="008B4C70"/>
    <w:rsid w:val="008D0B66"/>
    <w:rsid w:val="008D6277"/>
    <w:rsid w:val="008E10BB"/>
    <w:rsid w:val="008F1133"/>
    <w:rsid w:val="00902967"/>
    <w:rsid w:val="00921F16"/>
    <w:rsid w:val="00932A34"/>
    <w:rsid w:val="00940378"/>
    <w:rsid w:val="009457F2"/>
    <w:rsid w:val="00955784"/>
    <w:rsid w:val="0095726E"/>
    <w:rsid w:val="00963E41"/>
    <w:rsid w:val="00966863"/>
    <w:rsid w:val="00973A89"/>
    <w:rsid w:val="00980D0E"/>
    <w:rsid w:val="009E05D3"/>
    <w:rsid w:val="009E1F6E"/>
    <w:rsid w:val="009F6AC5"/>
    <w:rsid w:val="00A039FD"/>
    <w:rsid w:val="00A237D2"/>
    <w:rsid w:val="00A30B5D"/>
    <w:rsid w:val="00A51836"/>
    <w:rsid w:val="00A543EB"/>
    <w:rsid w:val="00A63619"/>
    <w:rsid w:val="00A77888"/>
    <w:rsid w:val="00A77D04"/>
    <w:rsid w:val="00A82070"/>
    <w:rsid w:val="00A94268"/>
    <w:rsid w:val="00A960E6"/>
    <w:rsid w:val="00AA0D94"/>
    <w:rsid w:val="00AA16E5"/>
    <w:rsid w:val="00AA5447"/>
    <w:rsid w:val="00AB041D"/>
    <w:rsid w:val="00AB2FAF"/>
    <w:rsid w:val="00AC1534"/>
    <w:rsid w:val="00AD465D"/>
    <w:rsid w:val="00AE002A"/>
    <w:rsid w:val="00AE0FCB"/>
    <w:rsid w:val="00AF3059"/>
    <w:rsid w:val="00B22342"/>
    <w:rsid w:val="00B453A6"/>
    <w:rsid w:val="00B5459D"/>
    <w:rsid w:val="00B60D05"/>
    <w:rsid w:val="00B948B4"/>
    <w:rsid w:val="00B95C6E"/>
    <w:rsid w:val="00BB3317"/>
    <w:rsid w:val="00BC71F4"/>
    <w:rsid w:val="00BD28F6"/>
    <w:rsid w:val="00C0229E"/>
    <w:rsid w:val="00C048B8"/>
    <w:rsid w:val="00C06E06"/>
    <w:rsid w:val="00C248F3"/>
    <w:rsid w:val="00C332CB"/>
    <w:rsid w:val="00C4246A"/>
    <w:rsid w:val="00C508D7"/>
    <w:rsid w:val="00C679F1"/>
    <w:rsid w:val="00C7695E"/>
    <w:rsid w:val="00CA1607"/>
    <w:rsid w:val="00CA7719"/>
    <w:rsid w:val="00CB76D6"/>
    <w:rsid w:val="00CC3971"/>
    <w:rsid w:val="00CC4D5B"/>
    <w:rsid w:val="00CC4FF1"/>
    <w:rsid w:val="00CE68E2"/>
    <w:rsid w:val="00CF3ABE"/>
    <w:rsid w:val="00D26A12"/>
    <w:rsid w:val="00D27331"/>
    <w:rsid w:val="00D3288C"/>
    <w:rsid w:val="00D379CB"/>
    <w:rsid w:val="00D37E0B"/>
    <w:rsid w:val="00D6147B"/>
    <w:rsid w:val="00D635F6"/>
    <w:rsid w:val="00D63A9B"/>
    <w:rsid w:val="00D6661B"/>
    <w:rsid w:val="00D70418"/>
    <w:rsid w:val="00D71EFF"/>
    <w:rsid w:val="00D82979"/>
    <w:rsid w:val="00D878AB"/>
    <w:rsid w:val="00D90CED"/>
    <w:rsid w:val="00D933F2"/>
    <w:rsid w:val="00DA1A17"/>
    <w:rsid w:val="00DD7873"/>
    <w:rsid w:val="00DD7AB5"/>
    <w:rsid w:val="00DE6437"/>
    <w:rsid w:val="00DF3688"/>
    <w:rsid w:val="00E00BC0"/>
    <w:rsid w:val="00E05CD9"/>
    <w:rsid w:val="00E0758D"/>
    <w:rsid w:val="00E172BE"/>
    <w:rsid w:val="00E341C9"/>
    <w:rsid w:val="00E35E1C"/>
    <w:rsid w:val="00E4386B"/>
    <w:rsid w:val="00E47165"/>
    <w:rsid w:val="00E57EAD"/>
    <w:rsid w:val="00E73563"/>
    <w:rsid w:val="00EB067E"/>
    <w:rsid w:val="00EB520F"/>
    <w:rsid w:val="00EB64B5"/>
    <w:rsid w:val="00EC05E6"/>
    <w:rsid w:val="00EC7107"/>
    <w:rsid w:val="00ED132D"/>
    <w:rsid w:val="00EE51DA"/>
    <w:rsid w:val="00EF4F69"/>
    <w:rsid w:val="00F010BB"/>
    <w:rsid w:val="00F01783"/>
    <w:rsid w:val="00F030DC"/>
    <w:rsid w:val="00F217B3"/>
    <w:rsid w:val="00F21E8E"/>
    <w:rsid w:val="00F26513"/>
    <w:rsid w:val="00F408AE"/>
    <w:rsid w:val="00F42DC8"/>
    <w:rsid w:val="00F52D27"/>
    <w:rsid w:val="00F66EC6"/>
    <w:rsid w:val="00F923FA"/>
    <w:rsid w:val="00F9536E"/>
    <w:rsid w:val="00FA18AA"/>
    <w:rsid w:val="00FB5EB3"/>
    <w:rsid w:val="00FB6B34"/>
    <w:rsid w:val="00FC542B"/>
    <w:rsid w:val="00FD0AB3"/>
    <w:rsid w:val="00FD599B"/>
    <w:rsid w:val="00FE126C"/>
    <w:rsid w:val="00FE642A"/>
    <w:rsid w:val="00FF1279"/>
    <w:rsid w:val="00FF22F7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7A5920"/>
    <w:pPr>
      <w:ind w:left="720"/>
      <w:contextualSpacing/>
    </w:pPr>
  </w:style>
  <w:style w:type="paragraph" w:customStyle="1" w:styleId="ConsPlusNormal">
    <w:name w:val="ConsPlusNormal"/>
    <w:next w:val="a"/>
    <w:qFormat/>
    <w:rsid w:val="00BD28F6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ADC-4622-45DE-977D-8949754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2025-04-22T10:31:00Z</cp:lastPrinted>
  <dcterms:created xsi:type="dcterms:W3CDTF">2025-04-22T05:43:00Z</dcterms:created>
  <dcterms:modified xsi:type="dcterms:W3CDTF">2025-04-22T11:00:00Z</dcterms:modified>
</cp:coreProperties>
</file>