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КОНТРОЛЬНО-СЧЁТНАЯ  КОМИССИЯ  </w:t>
      </w:r>
    </w:p>
    <w:p w:rsidR="002C0FE5" w:rsidRPr="002C0FE5" w:rsidRDefault="00CC4D5B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ЧАГОДОЩЕНСКОГО</w:t>
      </w:r>
      <w:r w:rsidR="002C0FE5"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МУНИЦИПАЛЬНОГО  ОКРУГА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ВОЛОГОДСКОЙ ОБЛАСТИ</w:t>
      </w: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 №</w:t>
      </w:r>
      <w:r w:rsidR="00CC4D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2C5F2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проект решения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CC4D5B" w:rsidRPr="002C0FE5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0FE5" w:rsidRPr="002C0FE5" w:rsidRDefault="00CC4D5B" w:rsidP="002C0FE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Чагода     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62582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апреля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</w:p>
    <w:p w:rsidR="002C0FE5" w:rsidRPr="002C0FE5" w:rsidRDefault="002C0FE5" w:rsidP="002C0FE5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подготовлено в соответствии с  положением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округе, утвержденном решением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.2022 №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3 «Об утверждении Положения о бюджетном процессе в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Чагодощенском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округе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Вологодской области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», с положением 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утвержденном решением 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Представительным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7.10.2022 №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 xml:space="preserve">О создании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Вологодской области» и пунктом </w:t>
      </w:r>
      <w:r w:rsidR="00C332C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раздела 1 «Экспертно-аналитические мероприятия» плана работы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</w:t>
      </w:r>
      <w:r w:rsidR="00CC4D5B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Предметом экспертизы является проект решения 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При проведении экспертизы была поставлена задача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дать заключение о целесообразности принятия проекта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муниципального округа «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решение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бюджете 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>и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217B3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точки зрения: соответствия действующему законодательству и положению о бюджетном процессе; реалистичности и наличия  должного  обоснования  вносимых  изменений;  целесообразности  внесения изменений. Экспертиза была осуществлена в разрезе предлагаемых изменений в бюджет округа, предусмотренных проектом муниципального правового акта на предмет их соответствия вышеуказанным критериям.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Проект решения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  «О внесении изменений в решен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ие Представительного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Собрания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с приложениями №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1,</w:t>
      </w:r>
      <w:r w:rsidR="00C332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2,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3,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4,5,6</w:t>
      </w:r>
      <w:r w:rsidR="00470A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,7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 в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контрольно-счетную комиссию 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для проведения экспертизы и подготовки заключения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марта</w:t>
      </w:r>
      <w:r w:rsidR="00F217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по электронной почте.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Одновременно с 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lastRenderedPageBreak/>
        <w:t>проектом решения представлена пояснительная записка с указанием причин п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редлагаемых изменений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бюджета на 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5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и плановый период 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6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-202</w:t>
      </w:r>
      <w:r w:rsidR="00AD465D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7</w:t>
      </w:r>
      <w:r w:rsidR="00F010BB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годов</w:t>
      </w:r>
      <w:r w:rsidRPr="002C0FE5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Изменения в решение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Собрания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от 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 xml:space="preserve"> 80</w:t>
      </w:r>
      <w:r w:rsidR="00AD465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«О  бюджете 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округа на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и плановый период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годов»</w:t>
      </w:r>
      <w:r w:rsidR="00F217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вносятся </w:t>
      </w:r>
      <w:r w:rsidR="00AD46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первый</w:t>
      </w:r>
      <w:r w:rsidR="00F010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аз. </w:t>
      </w:r>
    </w:p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Анализ вносимых изменений по основным характеристикам бюджета округа на 202</w:t>
      </w:r>
      <w:r w:rsidR="00AD46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 в таблице №1.</w:t>
      </w:r>
    </w:p>
    <w:p w:rsidR="002C0FE5" w:rsidRDefault="00F217B3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Таблица № 1        </w:t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="000F4560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</w:t>
      </w:r>
      <w:r w:rsidR="002C0FE5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(тыс.  рублей)</w:t>
      </w:r>
    </w:p>
    <w:p w:rsidR="00973A89" w:rsidRPr="000F4560" w:rsidRDefault="00973A89" w:rsidP="002C0FE5">
      <w:pPr>
        <w:suppressAutoHyphens/>
        <w:spacing w:after="119" w:line="24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ar-SA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2778"/>
        <w:gridCol w:w="2472"/>
        <w:gridCol w:w="1418"/>
        <w:gridCol w:w="1417"/>
        <w:gridCol w:w="1241"/>
      </w:tblGrid>
      <w:tr w:rsidR="002C0FE5" w:rsidRPr="002C0FE5" w:rsidTr="000F4560">
        <w:trPr>
          <w:trHeight w:val="14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3D0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</w:t>
            </w:r>
            <w:r w:rsidR="00973A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Представительного 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Собрания от  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19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.12.202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№</w:t>
            </w:r>
            <w:r w:rsidR="00AD465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Изменения к утвержден</w:t>
            </w:r>
          </w:p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ному решению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widowControl w:val="0"/>
              <w:suppressAutoHyphens/>
              <w:spacing w:after="0" w:line="240" w:lineRule="auto"/>
              <w:ind w:left="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% изменения </w:t>
            </w:r>
          </w:p>
        </w:tc>
      </w:tr>
      <w:tr w:rsidR="0062582F" w:rsidRPr="002C0FE5" w:rsidTr="0062582F">
        <w:trPr>
          <w:trHeight w:val="3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доходов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, из них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AD465D" w:rsidP="00AD46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1037733,0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1039057,6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1324,6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D0B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0,1%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208335,0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208335,0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0,00%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829398,0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830722,6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1324,6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40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color w:val="000000"/>
              </w:rPr>
              <w:t>0,</w:t>
            </w:r>
            <w:r w:rsidR="00840BF3">
              <w:rPr>
                <w:rFonts w:ascii="Times New Roman" w:hAnsi="Times New Roman"/>
                <w:color w:val="000000"/>
              </w:rPr>
              <w:t>2</w:t>
            </w:r>
            <w:r w:rsidRPr="008D0B66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61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AD46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1037733,0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 w:rsidP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1066256,6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28523,6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840BF3" w:rsidP="008D0B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2,8</w:t>
            </w:r>
            <w:r w:rsidR="0062582F" w:rsidRPr="008D0B66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62582F" w:rsidRPr="002C0FE5" w:rsidTr="0062582F">
        <w:trPr>
          <w:trHeight w:val="3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82F" w:rsidRPr="002C0FE5" w:rsidRDefault="0062582F" w:rsidP="002C0F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Профицит</w:t>
            </w: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(+), дефицит (-)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AD46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 w:rsidP="00840B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840BF3">
              <w:rPr>
                <w:rFonts w:ascii="Times New Roman" w:hAnsi="Times New Roman"/>
                <w:b/>
                <w:bCs/>
                <w:color w:val="000000"/>
              </w:rPr>
              <w:t>27199,0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B6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582F" w:rsidRPr="008D0B66" w:rsidRDefault="006258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B6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A6D9D" w:rsidRPr="008A6D9D" w:rsidRDefault="002C0FE5" w:rsidP="008A6D9D">
      <w:pPr>
        <w:suppressAutoHyphens/>
        <w:spacing w:after="0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Из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представленных показателей таблицы видно, что проектом решения объем доходов бюджета на 202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корректируется в  сторону увеличения на 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1324,6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или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0,1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годовым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назначениям, объем расходов  планируется увеличить на 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28523,6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тыс. рублей, или на </w:t>
      </w:r>
      <w:r w:rsidR="00840B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2,8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к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годовым</w:t>
      </w:r>
      <w:r w:rsidR="00C508D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назначениям.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Дефицит бюджета составит </w:t>
      </w:r>
      <w:r w:rsid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27199,0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тыс. рублей, что составляет </w:t>
      </w:r>
      <w:r w:rsid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13,1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% от объема доходов бюджета без учета объема безвозмездных поступлений. Источником покрытия дефицита бюджета являются остатки средств на счете по учету средств бюджета </w:t>
      </w:r>
      <w:r w:rsid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округа 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(на 01.01.202</w:t>
      </w:r>
      <w:r w:rsid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г. – </w:t>
      </w:r>
      <w:r w:rsidR="008A6D9D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27199,0</w:t>
      </w:r>
      <w:r w:rsidR="008A6D9D" w:rsidRPr="008A6D9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тыс. рублей). Таким образом, требования, установленные пунктом 3 статьи 92.1 Бюджетного Кодекса РФ, соблюдены.</w:t>
      </w:r>
    </w:p>
    <w:p w:rsidR="008D6277" w:rsidRPr="002C0FE5" w:rsidRDefault="008D6277" w:rsidP="008A6D9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Основные характеристики бюджета округа на плановый период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увеличены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1260,7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 и с учетом изменений составят доходы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955085,3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955085,3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на 202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так же увеличены на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6483,9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тыс.рублей и с учетом изменений составят 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доходы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742530,3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рублей, расходы – </w:t>
      </w:r>
      <w:r w:rsidR="008D0B6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742530,3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 рублей</w:t>
      </w:r>
      <w:r w:rsidR="004271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660CA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C0FE5" w:rsidRPr="00C0229E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C0229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Анализ внесения изменений в доходную часть бюджета.</w:t>
      </w:r>
    </w:p>
    <w:p w:rsidR="002C0FE5" w:rsidRDefault="002C0FE5" w:rsidP="000F45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предусматривается увеличение доходов бюджета округа  в 202</w:t>
      </w:r>
      <w:r w:rsidR="000E5DE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на общую сумму </w:t>
      </w:r>
      <w:r w:rsidR="000E5DEF">
        <w:rPr>
          <w:rFonts w:ascii="Times New Roman" w:eastAsia="Times New Roman" w:hAnsi="Times New Roman"/>
          <w:sz w:val="28"/>
          <w:szCs w:val="28"/>
          <w:lang w:eastAsia="ar-SA"/>
        </w:rPr>
        <w:t>1324,6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Размеры уточнений по каждому виду доходов на 20</w:t>
      </w:r>
      <w:r w:rsidR="000E5DEF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в таблице</w:t>
      </w:r>
      <w:r w:rsidR="005E1F2E" w:rsidRPr="00C0229E"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4C6185" w:rsidRDefault="004C6185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1F2E" w:rsidRDefault="00B60D05" w:rsidP="00EB06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lastRenderedPageBreak/>
        <w:t xml:space="preserve">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</w:t>
      </w:r>
      <w:r w:rsidR="00F42DC8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                           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 </w:t>
      </w:r>
      <w:r w:rsidR="004C6185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</w:t>
      </w:r>
      <w:r w:rsidR="00EB067E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                            Т</w:t>
      </w:r>
      <w:r w:rsidR="005E1F2E" w:rsidRPr="000F4560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аблица № 2        </w:t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ab/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 w:rsidR="00EB067E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                   </w:t>
      </w:r>
      <w:r w:rsidR="004C6185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 xml:space="preserve">     </w:t>
      </w:r>
      <w:r w:rsidR="000F4560" w:rsidRPr="000F456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(тыс. рублей)</w:t>
      </w:r>
    </w:p>
    <w:p w:rsidR="00F42DC8" w:rsidRPr="000F4560" w:rsidRDefault="00F42DC8" w:rsidP="00B60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tbl>
      <w:tblPr>
        <w:tblW w:w="0" w:type="auto"/>
        <w:tblInd w:w="9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838"/>
        <w:gridCol w:w="1559"/>
        <w:gridCol w:w="1559"/>
        <w:gridCol w:w="1383"/>
      </w:tblGrid>
      <w:tr w:rsidR="002C0FE5" w:rsidRPr="002C0FE5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2C0FE5" w:rsidRPr="002C0FE5" w:rsidRDefault="000F4560" w:rsidP="000E5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 202</w:t>
            </w:r>
            <w:r w:rsidR="000E5D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Проект</w:t>
            </w:r>
          </w:p>
          <w:p w:rsidR="002C0FE5" w:rsidRPr="002C0FE5" w:rsidRDefault="002C0FE5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FE5" w:rsidRPr="002C0FE5" w:rsidRDefault="002C0FE5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Сумма</w:t>
            </w:r>
          </w:p>
          <w:p w:rsidR="002C0FE5" w:rsidRPr="000F4560" w:rsidRDefault="000F4560" w:rsidP="000F4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изменений</w:t>
            </w:r>
          </w:p>
        </w:tc>
      </w:tr>
      <w:tr w:rsidR="000E5DEF" w:rsidRPr="000E5DEF" w:rsidTr="000F4560">
        <w:trPr>
          <w:trHeight w:val="461"/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EF" w:rsidRPr="000E5DEF" w:rsidRDefault="000E5DEF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EF" w:rsidRPr="000E5DEF" w:rsidRDefault="000E5DEF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208335,0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DEF" w:rsidRPr="000E5DEF" w:rsidRDefault="000E5DEF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208335,0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DEF" w:rsidRPr="000E5DEF" w:rsidRDefault="000E5DEF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E5DE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0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C02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поступления</w:t>
            </w:r>
            <w:r w:rsidRPr="002C0F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из них: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829398,0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830722,6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0F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</w:t>
            </w:r>
            <w:r w:rsidR="000E5D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1324,6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Дотации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158075,6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158075,6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395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0E5DEF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481299,0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0E5DEF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482308,6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Default="000E5DEF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+1009,6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8D0B6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Субвенции бюджетам бюджетной системы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190023,4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190023,4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0E5DEF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8D0B66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0E5DEF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Default="000E5DEF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177,9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0E5DEF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+177,9</w:t>
            </w:r>
          </w:p>
        </w:tc>
      </w:tr>
      <w:tr w:rsidR="005E7E31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E31" w:rsidRDefault="005E7E31" w:rsidP="00575B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Б</w:t>
            </w: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езвозмездные поступления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от негосударственных организаций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E31" w:rsidRDefault="005E7E31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E31" w:rsidRDefault="005E7E31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65,0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31" w:rsidRDefault="005E7E31" w:rsidP="008D0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+65,0</w:t>
            </w:r>
          </w:p>
        </w:tc>
      </w:tr>
      <w:tr w:rsidR="008D0B66" w:rsidRPr="002C0FE5" w:rsidTr="000F4560">
        <w:trPr>
          <w:trHeight w:val="375"/>
        </w:trPr>
        <w:tc>
          <w:tcPr>
            <w:tcW w:w="4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7A5920" w:rsidRDefault="008D0B66" w:rsidP="002C0F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A5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792B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0B66" w:rsidRPr="002C0FE5" w:rsidRDefault="000E5DEF" w:rsidP="002C0F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72,1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B66" w:rsidRPr="002C3B76" w:rsidRDefault="000E5DEF" w:rsidP="000E5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+72,1</w:t>
            </w:r>
          </w:p>
        </w:tc>
      </w:tr>
    </w:tbl>
    <w:p w:rsidR="002C0FE5" w:rsidRPr="002C0FE5" w:rsidRDefault="002C0FE5" w:rsidP="002C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E7E31" w:rsidRPr="005E7E31" w:rsidRDefault="0095726E" w:rsidP="009572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Уточнения решения о </w:t>
      </w:r>
      <w:r w:rsidR="00C4246A"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юджете </w:t>
      </w:r>
      <w:r w:rsidR="00C4246A"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202</w:t>
      </w:r>
      <w:r w:rsidR="005E7E31"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обусловлено</w:t>
      </w:r>
      <w:r w:rsidR="005E7E31"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  <w:r w:rsidR="005E7E31" w:rsidRPr="005E7E31">
        <w:rPr>
          <w:rFonts w:ascii="Times New Roman" w:hAnsi="Times New Roman"/>
          <w:sz w:val="28"/>
          <w:szCs w:val="28"/>
        </w:rPr>
        <w:t xml:space="preserve"> </w:t>
      </w:r>
    </w:p>
    <w:p w:rsidR="005E7E31" w:rsidRPr="005E7E31" w:rsidRDefault="005E7E31" w:rsidP="005E7E3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E7E31">
        <w:rPr>
          <w:rFonts w:ascii="Times New Roman" w:hAnsi="Times New Roman"/>
          <w:sz w:val="28"/>
          <w:szCs w:val="28"/>
        </w:rPr>
        <w:t>-предоставлением субсидии из областного бюджета на основании уведомления от Министерства внутренней политики Вологодской области от 13.03.2025 года  в сумме 1009,6 тыс.</w:t>
      </w:r>
      <w:r w:rsidR="00C06E06"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06E06"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Pr="005E7E31">
        <w:rPr>
          <w:rFonts w:ascii="Times New Roman" w:hAnsi="Times New Roman"/>
          <w:sz w:val="28"/>
          <w:szCs w:val="28"/>
        </w:rPr>
        <w:t xml:space="preserve">,  </w:t>
      </w:r>
      <w:r w:rsidR="0095726E"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E7E31" w:rsidRPr="005E7E31" w:rsidRDefault="005E7E31" w:rsidP="005E7E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</w:t>
      </w:r>
      <w:r w:rsidRPr="005E7E31">
        <w:rPr>
          <w:rFonts w:ascii="Times New Roman" w:hAnsi="Times New Roman"/>
          <w:sz w:val="28"/>
          <w:szCs w:val="28"/>
        </w:rPr>
        <w:t>распределением иных межбюджетных  трансфертов на основании уведомления от Администрации Губернатора Вологодской области от 04.02.2025 года в сумме 177,9 тыс.</w:t>
      </w:r>
      <w:r w:rsidR="00C06E06"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06E06"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Pr="005E7E31">
        <w:rPr>
          <w:rFonts w:ascii="Times New Roman" w:hAnsi="Times New Roman"/>
          <w:sz w:val="28"/>
          <w:szCs w:val="28"/>
        </w:rPr>
        <w:t>,</w:t>
      </w:r>
    </w:p>
    <w:p w:rsidR="005E7E31" w:rsidRPr="005E7E31" w:rsidRDefault="005E7E31" w:rsidP="005E7E3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E7E31">
        <w:rPr>
          <w:rFonts w:ascii="Times New Roman" w:hAnsi="Times New Roman"/>
          <w:sz w:val="28"/>
          <w:szCs w:val="28"/>
        </w:rPr>
        <w:t xml:space="preserve">- </w:t>
      </w: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поступления от негосударственных организаций 65,0 тыс.</w:t>
      </w:r>
      <w:r w:rsidR="00C06E06"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06E06"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</w:p>
    <w:p w:rsidR="00C06E06" w:rsidRDefault="005E7E31" w:rsidP="001024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7E3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поступления прочих безвозмездных поступлений 72,1 тыс.</w:t>
      </w:r>
      <w:r w:rsidR="00C06E06"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06E06"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C06E0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06E06" w:rsidRDefault="007A5920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6D6965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На основании вышеизложенного внесение изменений в бюджет округа на 202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5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год является обоснованным и соответствующим нормам Положения о бюджетном процессе и требованиям Бюджетного Кодекса. С учетом предлагаемых проектом решения корректировок, плановые назначения по безвозмездным поступлениям бюджета округа на 202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5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год составят </w:t>
      </w:r>
      <w:r w:rsidR="00C06E06" w:rsidRPr="00C06E0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830722,6</w:t>
      </w:r>
      <w:r w:rsidR="00C06E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2908FD" w:rsidRPr="0010240F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тыс. рублей.</w:t>
      </w:r>
      <w:r w:rsidR="00C06E06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</w:t>
      </w:r>
    </w:p>
    <w:p w:rsidR="002908FD" w:rsidRPr="0010240F" w:rsidRDefault="00C06E06" w:rsidP="0010240F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В части налоговых и неналоговых доходов изменений не планируется. Общая  суммам доходов бюджета составит 1039057,6 тыс.</w:t>
      </w:r>
      <w:r w:rsidRPr="00C06E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0229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.</w:t>
      </w:r>
    </w:p>
    <w:p w:rsidR="008F1133" w:rsidRPr="008F1133" w:rsidRDefault="008F1133" w:rsidP="008F113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1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2C0FE5" w:rsidRPr="00EB067E" w:rsidRDefault="002C0FE5" w:rsidP="008F1133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</w:pPr>
      <w:r w:rsidRPr="00EB067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Изменение общего объема расходов</w:t>
      </w:r>
    </w:p>
    <w:p w:rsidR="002C0FE5" w:rsidRPr="002C0FE5" w:rsidRDefault="002C0FE5" w:rsidP="0006506D">
      <w:pPr>
        <w:suppressAutoHyphens/>
        <w:spacing w:before="119" w:after="119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Обоснованность вносимых изменений</w:t>
      </w:r>
    </w:p>
    <w:p w:rsidR="002C0FE5" w:rsidRPr="002C0FE5" w:rsidRDefault="002C0FE5" w:rsidP="002C0FE5">
      <w:pPr>
        <w:suppressAutoHyphens/>
        <w:spacing w:before="119" w:after="0" w:line="240" w:lineRule="auto"/>
        <w:ind w:hanging="36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Решением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 Собрания 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от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19,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 xml:space="preserve">80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«О бюджете </w:t>
      </w:r>
      <w:r w:rsidR="00685616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на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2025 год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плановый период 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>и 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0507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</w:t>
      </w:r>
      <w:r w:rsidR="00D614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утверждены: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расходов в сумме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1037733,0</w:t>
      </w:r>
      <w:r w:rsidR="00405070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тыс. рублей;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3D00F7"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</w:t>
      </w:r>
      <w:r w:rsidR="003D00F7">
        <w:rPr>
          <w:rFonts w:ascii="Times New Roman" w:eastAsia="Times New Roman" w:hAnsi="Times New Roman"/>
          <w:sz w:val="28"/>
          <w:szCs w:val="28"/>
          <w:lang w:eastAsia="ar-SA"/>
        </w:rPr>
        <w:t>отсутствует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  <w:t>Проектом решения о внесении изменений предлагается утвердить:</w:t>
      </w:r>
    </w:p>
    <w:p w:rsidR="002C0FE5" w:rsidRPr="00865681" w:rsidRDefault="002C0FE5" w:rsidP="002C0FE5">
      <w:pPr>
        <w:suppressAutoHyphens/>
        <w:spacing w:before="119" w:after="119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объем расходов в сумме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1066256,6</w:t>
      </w: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2C0FE5" w:rsidRPr="002C0FE5" w:rsidRDefault="002C0FE5" w:rsidP="000F45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5681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размер дефицита бюджета округа 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4856F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 xml:space="preserve">авит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="00F0178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тыс.рублей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3D00F7" w:rsidRPr="003D00F7" w:rsidRDefault="002C0FE5" w:rsidP="003D00F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Таким образом, в 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году происходит увеличение объема расходов на 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 xml:space="preserve">28523,6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</w:t>
      </w:r>
      <w:r w:rsidR="003D00F7" w:rsidRPr="003D0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0F7">
        <w:rPr>
          <w:rFonts w:ascii="Times New Roman" w:eastAsia="Times New Roman" w:hAnsi="Times New Roman"/>
          <w:sz w:val="28"/>
          <w:szCs w:val="28"/>
          <w:lang w:eastAsia="ru-RU"/>
        </w:rPr>
        <w:t>в т.ч. за счет</w:t>
      </w:r>
      <w:r w:rsidR="003D00F7" w:rsidRPr="003D00F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распределение остатков средств, сложившихся на 01.01.202</w:t>
      </w:r>
      <w:r w:rsidR="003D00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0F7" w:rsidRPr="003D00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сумме </w:t>
      </w:r>
      <w:r w:rsidR="003D00F7">
        <w:rPr>
          <w:rFonts w:ascii="Times New Roman" w:eastAsia="Times New Roman" w:hAnsi="Times New Roman"/>
          <w:sz w:val="28"/>
          <w:szCs w:val="28"/>
          <w:lang w:eastAsia="ru-RU"/>
        </w:rPr>
        <w:t>27199,0</w:t>
      </w:r>
      <w:r w:rsidR="003D00F7" w:rsidRPr="003D00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тыс.рублей. </w:t>
      </w:r>
    </w:p>
    <w:p w:rsidR="002C0FE5" w:rsidRPr="002C0FE5" w:rsidRDefault="002C0FE5" w:rsidP="003D00F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  <w:t>Размеры уточнений по разделам подразделам функциональной классификации расходов на 202</w:t>
      </w:r>
      <w:r w:rsidR="00EF4F6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представлены таблице </w:t>
      </w:r>
      <w:r w:rsidR="005E1F2E">
        <w:rPr>
          <w:rFonts w:ascii="Times New Roman" w:eastAsia="Times New Roman" w:hAnsi="Times New Roman"/>
          <w:sz w:val="28"/>
          <w:szCs w:val="28"/>
          <w:lang w:eastAsia="ar-SA"/>
        </w:rPr>
        <w:t>№3.</w:t>
      </w:r>
    </w:p>
    <w:p w:rsidR="00515B2A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</w:t>
      </w: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4B062D" w:rsidRDefault="004B062D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Таблица   №3                                                                                            </w:t>
      </w:r>
    </w:p>
    <w:p w:rsidR="002C0FE5" w:rsidRDefault="005E1F2E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ab/>
      </w:r>
      <w:r w:rsidR="002C0FE5" w:rsidRP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8589" w:type="dxa"/>
        <w:tblInd w:w="96" w:type="dxa"/>
        <w:tblLook w:val="04A0"/>
      </w:tblPr>
      <w:tblGrid>
        <w:gridCol w:w="3560"/>
        <w:gridCol w:w="2028"/>
        <w:gridCol w:w="1336"/>
        <w:gridCol w:w="1665"/>
      </w:tblGrid>
      <w:tr w:rsidR="004F543F" w:rsidRPr="004F543F" w:rsidTr="00820FEC">
        <w:trPr>
          <w:trHeight w:val="13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3F" w:rsidRPr="004F543F" w:rsidRDefault="004F543F" w:rsidP="004F54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F543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43F" w:rsidRPr="004F543F" w:rsidRDefault="004F543F" w:rsidP="004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решением Представительного Собрания от  19.12.2024 №80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43F" w:rsidRPr="004F543F" w:rsidRDefault="004F543F" w:rsidP="004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43F" w:rsidRPr="004F543F" w:rsidRDefault="004F543F" w:rsidP="004F54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Изменения к утвержденному решению</w:t>
            </w:r>
          </w:p>
        </w:tc>
      </w:tr>
      <w:tr w:rsidR="00820FEC" w:rsidRPr="004F543F" w:rsidTr="00820FEC">
        <w:trPr>
          <w:trHeight w:val="564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ВОПРОСЫ, из них: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115873,2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117546,7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1673,5</w:t>
            </w:r>
          </w:p>
        </w:tc>
      </w:tr>
      <w:tr w:rsidR="00820FEC" w:rsidRPr="004F543F" w:rsidTr="00820FEC">
        <w:trPr>
          <w:trHeight w:val="816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2438,5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2438,5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160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57129,2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57247,6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118,4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108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13271,5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13236,5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-35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42992,2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44582,3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1590,1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943,2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943,2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943,2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943,2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1116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ДЕЯТЕЛЬНОСТЬ, из них: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14786,1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14840,9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54,8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108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3242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816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правоохраниельной деятельности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11085,1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11139,9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54,8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60853,5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64604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3750,5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Транспорт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3820,4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3820,4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50403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54078,1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3675,1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Жругие вопросы в области национальной экономики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6630,1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6705,5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75,4</w:t>
            </w:r>
          </w:p>
        </w:tc>
      </w:tr>
      <w:tr w:rsidR="00820FEC" w:rsidRPr="004F543F" w:rsidTr="00820FEC">
        <w:trPr>
          <w:trHeight w:val="564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421333,1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431605,6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10272,5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12241,7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11752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-489,7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355305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361844,8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6539,8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53786,4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58008,8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4222,4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301,5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301,5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816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301,5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301,5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342547,6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343627,6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1080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104725,2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105025,2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186467,4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186794,9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327,5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29447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29819,5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372,5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Молодежная политика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822,6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822,6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21085,4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21165,4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54644,6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56524,1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1879,5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54644,6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56524,1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1879,5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1374,6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2030,4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655,8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Санитарно-эпидемиологическое благополучие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204,6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260,4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55,8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1770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8520,7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14214,9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5694,2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3414,4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3414,4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20FEC" w:rsidRPr="004F543F" w:rsidTr="00820FEC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4406,3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10085,5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5679,2</w:t>
            </w:r>
          </w:p>
        </w:tc>
      </w:tr>
      <w:tr w:rsidR="00820FEC" w:rsidRPr="004F543F" w:rsidTr="00820FEC">
        <w:trPr>
          <w:trHeight w:val="55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715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820FEC" w:rsidRPr="004F543F" w:rsidTr="00820FEC">
        <w:trPr>
          <w:trHeight w:val="564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16554,9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20017,6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3462,7</w:t>
            </w:r>
          </w:p>
        </w:tc>
      </w:tr>
      <w:tr w:rsidR="00820FEC" w:rsidRPr="004F543F" w:rsidTr="00820FEC">
        <w:trPr>
          <w:trHeight w:val="324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20FEC">
              <w:rPr>
                <w:rFonts w:ascii="Times New Roman" w:hAnsi="Times New Roman"/>
                <w:i/>
                <w:iCs/>
                <w:color w:val="000000"/>
              </w:rPr>
              <w:t>16554,9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right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20017,6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0FEC">
              <w:rPr>
                <w:rFonts w:ascii="Times New Roman" w:hAnsi="Times New Roman"/>
                <w:color w:val="000000"/>
              </w:rPr>
              <w:t>3462,7</w:t>
            </w:r>
          </w:p>
        </w:tc>
      </w:tr>
      <w:tr w:rsidR="00820FEC" w:rsidRPr="004F543F" w:rsidTr="00820FEC">
        <w:trPr>
          <w:trHeight w:val="336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4F543F" w:rsidRDefault="00820FEC" w:rsidP="004F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54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1037733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1066256,5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0FEC" w:rsidRPr="00820FEC" w:rsidRDefault="00820F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20FEC">
              <w:rPr>
                <w:rFonts w:ascii="Times New Roman" w:hAnsi="Times New Roman"/>
                <w:b/>
                <w:bCs/>
                <w:color w:val="000000"/>
              </w:rPr>
              <w:t>28523,6</w:t>
            </w:r>
          </w:p>
        </w:tc>
      </w:tr>
    </w:tbl>
    <w:p w:rsidR="00517B58" w:rsidRDefault="00517B58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515B2A" w:rsidRDefault="00515B2A" w:rsidP="004B0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9E05D3" w:rsidRDefault="00D90CED" w:rsidP="0010240F">
      <w:pPr>
        <w:spacing w:after="0"/>
        <w:ind w:firstLine="709"/>
        <w:jc w:val="both"/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</w:pP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Проведенным анализом изменений расходной части бюджета округа установлено, что сумма расходных ассигнований бюджета </w:t>
      </w:r>
      <w:r w:rsidR="007E001D"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Чагодощенского 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муниципального округа в целом увеличена на сумму </w:t>
      </w:r>
      <w:r w:rsidR="009E05D3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28523,6</w:t>
      </w:r>
      <w:r w:rsidRPr="005F263E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="009E05D3">
        <w:rPr>
          <w:rFonts w:ascii="Times New Roman" w:eastAsia="Times New Roman CYR" w:hAnsi="Times New Roman"/>
          <w:color w:val="000000" w:themeColor="text1"/>
          <w:sz w:val="28"/>
          <w:szCs w:val="28"/>
          <w:lang w:eastAsia="ar-SA"/>
        </w:rPr>
        <w:t>.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средств областного бюджета в сумме 1 187,5 тыс.руб.: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субсидия на реализацию проекта «Народный бюджет» (на основании уведомления от Министерства внутренней политики Вологодской области от 13.03.2025 года) +1 009,6 т.р.;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иной межбюджетный трансферт на поощрение за лучшие практики деятельности органов местного самоуправления (на основании уведомления от Администрации Губернатора Вологодской области от 04.02.2025 года) +177,9 тыс.руб. (ассигнования поставлены на отрасль коммунального хозяйства округа);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средств, поступивших от физических лиц на реализацию проекта «Народный бюджет» +72,1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счет прочих безвозмездных поступлений от негосударственных организаций в бюджеты муниципальных округов (пожертвования) +65,0 тыс.руб. 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(Чагодское ТУ – приобретение праздничной атрибутики для празднования Дня Победы);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распределения остатков средств, сложившихся на 01.01.2025 года в сумме 27 199,0 тыс.руб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софинансирование для планируемых в апреле областных поправок в бюджет области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+2 806,1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перенос лимитов с плановых назначений 2024 года для оплаты контрактов декабря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+1 859,8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реализации проекта «Народный бюджет»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+360,6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(софинансирование из бюджета округа);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текущие расходы по администрации округа (представительские расходы)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+186,0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текущие расходы для администрации Первомайского ТУ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+3,4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(ремонт автомобиля);</w:t>
      </w:r>
    </w:p>
    <w:p w:rsidR="009E05D3" w:rsidRPr="00D26A12" w:rsidRDefault="008B29F6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мер социальной поддержки </w:t>
      </w:r>
      <w:r w:rsidR="009E05D3" w:rsidRPr="00D26A12">
        <w:rPr>
          <w:rFonts w:ascii="Times New Roman" w:eastAsia="Times New Roman" w:hAnsi="Times New Roman"/>
          <w:sz w:val="28"/>
          <w:szCs w:val="28"/>
          <w:lang w:eastAsia="ru-RU"/>
        </w:rPr>
        <w:t>аппарат</w:t>
      </w:r>
      <w:r w:rsidRPr="00D26A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05D3" w:rsidRPr="00D26A1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мировых судей</w:t>
      </w:r>
      <w:r w:rsidRPr="00D26A1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E05D3" w:rsidRPr="00D26A12">
        <w:rPr>
          <w:rFonts w:ascii="Times New Roman" w:eastAsia="Times New Roman" w:hAnsi="Times New Roman"/>
          <w:b/>
          <w:sz w:val="28"/>
          <w:szCs w:val="28"/>
          <w:lang w:eastAsia="ru-RU"/>
        </w:rPr>
        <w:t>+318,0</w:t>
      </w:r>
      <w:r w:rsidR="009E05D3" w:rsidRPr="00D26A1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4022C0" w:rsidRPr="00D26A12" w:rsidRDefault="009E1F6E" w:rsidP="00402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Проектом решения предлагается установить за счёт средств местного бюджета дополнительную меру социальной поддержки</w:t>
      </w:r>
      <w:r w:rsidR="004022C0" w:rsidRPr="00D26A12">
        <w:rPr>
          <w:rFonts w:ascii="Times New Roman" w:hAnsi="Times New Roman"/>
          <w:sz w:val="28"/>
          <w:szCs w:val="28"/>
        </w:rPr>
        <w:t xml:space="preserve"> работникам аппарата мирового судьи Вологодской области.</w:t>
      </w:r>
    </w:p>
    <w:p w:rsidR="004022C0" w:rsidRPr="00D26A12" w:rsidRDefault="004022C0" w:rsidP="00402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 соответствии с частью 5 статьи 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При этом, </w:t>
      </w: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lastRenderedPageBreak/>
        <w:t>финансирование полномочий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4022C0" w:rsidRPr="00D26A12" w:rsidRDefault="004022C0" w:rsidP="00402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Согласно пункту 5 статьи 86 Бюджетного кодекса Российской Федерации органы местного самоуправления 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4022C0" w:rsidRPr="00D26A12" w:rsidRDefault="00BD28F6" w:rsidP="00BD2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2">
        <w:rPr>
          <w:rFonts w:ascii="Times New Roman" w:hAnsi="Times New Roman"/>
          <w:color w:val="3C3C3C"/>
          <w:sz w:val="28"/>
          <w:szCs w:val="28"/>
        </w:rPr>
        <w:t xml:space="preserve">Согласно </w:t>
      </w: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подпункта 18 пункта 2 статьи 2</w:t>
      </w:r>
      <w:r w:rsidRPr="00D26A12">
        <w:rPr>
          <w:rFonts w:ascii="Times New Roman" w:hAnsi="Times New Roman"/>
          <w:color w:val="3C3C3C"/>
          <w:sz w:val="28"/>
          <w:szCs w:val="28"/>
        </w:rPr>
        <w:t>8</w:t>
      </w: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</w:t>
      </w:r>
      <w:r w:rsidRPr="00D26A12">
        <w:rPr>
          <w:rFonts w:ascii="Times New Roman" w:hAnsi="Times New Roman"/>
          <w:color w:val="3C3C3C"/>
          <w:sz w:val="28"/>
          <w:szCs w:val="28"/>
        </w:rPr>
        <w:t xml:space="preserve">главы 4 </w:t>
      </w: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Устава </w:t>
      </w:r>
      <w:r w:rsidR="00CC3971" w:rsidRPr="00D26A12">
        <w:rPr>
          <w:rFonts w:ascii="Times New Roman" w:hAnsi="Times New Roman"/>
          <w:sz w:val="28"/>
          <w:szCs w:val="28"/>
        </w:rPr>
        <w:t>Чагодощенского муниципального округа</w:t>
      </w:r>
      <w:r w:rsidRPr="00D26A1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 </w:t>
      </w:r>
      <w:r w:rsidRPr="00D26A12">
        <w:rPr>
          <w:rFonts w:ascii="Times New Roman" w:hAnsi="Times New Roman"/>
          <w:sz w:val="28"/>
          <w:szCs w:val="28"/>
        </w:rPr>
        <w:t xml:space="preserve">установление видов, размеров и порядка предоставления социального обеспечения и иных мер социальной поддержки, финансируемых за счет средств бюджета Чагодощенского муниципального округа относится к компетенции Представительного Собрания Чагодощенского муниципального округа. </w:t>
      </w:r>
      <w:r w:rsidR="00CC3971" w:rsidRPr="00D26A12">
        <w:rPr>
          <w:rFonts w:ascii="Times New Roman" w:hAnsi="Times New Roman"/>
          <w:sz w:val="28"/>
          <w:szCs w:val="28"/>
        </w:rPr>
        <w:t>Данная мера социальной</w:t>
      </w:r>
      <w:r w:rsidRPr="00D26A12">
        <w:rPr>
          <w:rFonts w:ascii="Times New Roman" w:hAnsi="Times New Roman"/>
          <w:sz w:val="28"/>
          <w:szCs w:val="28"/>
        </w:rPr>
        <w:t xml:space="preserve"> поддержки  не противоречит </w:t>
      </w:r>
      <w:r w:rsidR="00CC3971" w:rsidRPr="00D26A12">
        <w:rPr>
          <w:rFonts w:ascii="Times New Roman" w:hAnsi="Times New Roman"/>
          <w:sz w:val="28"/>
          <w:szCs w:val="28"/>
        </w:rPr>
        <w:t>У</w:t>
      </w:r>
      <w:r w:rsidRPr="00D26A12">
        <w:rPr>
          <w:rFonts w:ascii="Times New Roman" w:hAnsi="Times New Roman"/>
          <w:sz w:val="28"/>
          <w:szCs w:val="28"/>
        </w:rPr>
        <w:t>ставу</w:t>
      </w:r>
      <w:r w:rsidR="004022C0" w:rsidRPr="00D26A12">
        <w:rPr>
          <w:rFonts w:ascii="Times New Roman" w:hAnsi="Times New Roman"/>
          <w:sz w:val="28"/>
          <w:szCs w:val="28"/>
        </w:rPr>
        <w:t xml:space="preserve">. </w:t>
      </w:r>
    </w:p>
    <w:p w:rsidR="004022C0" w:rsidRPr="00D26A12" w:rsidRDefault="004022C0" w:rsidP="00BD28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6A12">
        <w:rPr>
          <w:rFonts w:ascii="Times New Roman" w:hAnsi="Times New Roman"/>
          <w:i/>
          <w:sz w:val="28"/>
          <w:szCs w:val="28"/>
        </w:rPr>
        <w:t>КСК отмечает, что согласно вышеизложенного, внесение изменени</w:t>
      </w:r>
      <w:r w:rsidR="0048122A" w:rsidRPr="00D26A12">
        <w:rPr>
          <w:rFonts w:ascii="Times New Roman" w:hAnsi="Times New Roman"/>
          <w:i/>
          <w:sz w:val="28"/>
          <w:szCs w:val="28"/>
        </w:rPr>
        <w:t>й</w:t>
      </w:r>
      <w:r w:rsidRPr="00D26A12">
        <w:rPr>
          <w:rFonts w:ascii="Times New Roman" w:hAnsi="Times New Roman"/>
          <w:i/>
          <w:sz w:val="28"/>
          <w:szCs w:val="28"/>
        </w:rPr>
        <w:t xml:space="preserve"> в бюджет округа  в части о</w:t>
      </w:r>
      <w:r w:rsidR="00D26A12" w:rsidRPr="00D26A12">
        <w:rPr>
          <w:rFonts w:ascii="Times New Roman" w:eastAsia="Times New Roman" w:hAnsi="Times New Roman"/>
          <w:i/>
          <w:sz w:val="28"/>
          <w:szCs w:val="28"/>
          <w:lang w:eastAsia="ru-RU"/>
        </w:rPr>
        <w:t>беспечения</w:t>
      </w:r>
      <w:r w:rsidRPr="00D26A1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деятельности аппаратов мировых судей возможно при наличии решения Представительного Собрания Чагодощенского муниципального округа об у</w:t>
      </w:r>
      <w:r w:rsidRPr="00D26A12">
        <w:rPr>
          <w:rFonts w:ascii="Times New Roman" w:hAnsi="Times New Roman"/>
          <w:i/>
          <w:sz w:val="28"/>
          <w:szCs w:val="28"/>
        </w:rPr>
        <w:t xml:space="preserve">становлении </w:t>
      </w:r>
      <w:r w:rsidR="0048122A" w:rsidRPr="00D26A12">
        <w:rPr>
          <w:rFonts w:ascii="Times New Roman" w:hAnsi="Times New Roman"/>
          <w:i/>
          <w:sz w:val="28"/>
          <w:szCs w:val="28"/>
        </w:rPr>
        <w:t xml:space="preserve">соответствующей </w:t>
      </w:r>
      <w:r w:rsidR="00D26A12" w:rsidRPr="00D26A12">
        <w:rPr>
          <w:rFonts w:ascii="Times New Roman" w:hAnsi="Times New Roman"/>
          <w:i/>
          <w:sz w:val="28"/>
          <w:szCs w:val="28"/>
        </w:rPr>
        <w:t>меры социальной поддержки</w:t>
      </w:r>
      <w:r w:rsidRPr="00D26A12">
        <w:rPr>
          <w:rFonts w:ascii="Times New Roman" w:hAnsi="Times New Roman"/>
          <w:i/>
          <w:sz w:val="28"/>
          <w:szCs w:val="28"/>
        </w:rPr>
        <w:t xml:space="preserve"> работникам аппарата мирового судьи Вологодской области</w:t>
      </w:r>
      <w:r w:rsidR="00D26A12" w:rsidRPr="00D26A12">
        <w:rPr>
          <w:rFonts w:ascii="Times New Roman" w:hAnsi="Times New Roman"/>
          <w:i/>
          <w:sz w:val="28"/>
          <w:szCs w:val="28"/>
        </w:rPr>
        <w:t>.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A12">
        <w:rPr>
          <w:rFonts w:ascii="Times New Roman" w:eastAsia="Times New Roman" w:hAnsi="Times New Roman"/>
          <w:sz w:val="28"/>
          <w:szCs w:val="28"/>
          <w:lang w:eastAsia="ru-RU"/>
        </w:rPr>
        <w:t>МБУ «Управление и содержание территор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ий»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+400,0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(ремонт автомобиля);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МП «Содействие занятости населения»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+200,0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Содержание муниципального имущества: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- КУМИ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+406,3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(ремонты муниципальной квартиры (д. Мегрино, ул. Северная 2-7) +371,6 тыс.руб., ассигнования для заключения договора с ООО «Чистый след» +34,7 тыс.руб.)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исковых требований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+142,3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(Чагодское ТУ +130,0 тыс.руб., КУМИ +12,3 тыс.руб.);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МП «Обеспечение профилактики правонарушений, безопасности и правоохранительной деятельности» на мероприятий по обеспечению вывоза трупов криминального характера (средства направляются на доставку тел из зоны СВО)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+50,0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ремонт и содержание автомобильных дорог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+3 000,0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коммунальных услуг на территории округа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+4 889,2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(работы по дезинфекции колодцев +600,0 тыс.руб., ремонт участка тепловых сетей от здания администрации до ЧДШИ +600,0 тыс.руб., обследование сетей, котельной и труб +2 250,8 тыс.руб., авторский надзор по объекту «реконструкция канализационных очистных сооружений в п. Чагода» +610,0 тыс.руб., оплата договора с ООО «Стройконтроль» +828,4 тыс.руб.)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благоустройство и повышение внешней привлекательности территорий округа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- Чагодское ТУ: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+550,0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(демонтаж и монтаж старой стелы +250,0 тыс.руб., ремонт памятника ВОВ +100,0 тыс.руб., устранение урагана на кладбище +200,0 тыс.руб.);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округа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+2 750,0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(обустройство въездной стелы);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частичное обеспечение предписаний контролирующих органов для отрасли образование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+1 000,0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(д/сады +300,0 тыс.руб., школы +700,0 тыс.руб.)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мероприятий педагогов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+80,0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Чагодощенская ЦБС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+468,0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(оплата договора на печать книги Рогушкова В.Г. +13,0 тыс.руб., разработка ПСД на строительство библиотеки +455,0 тыс.руб.);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культуры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+907,7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(организация и проведение мероприятий, посвященных 9 Мая и Года Защитника);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мероприятий при осуществлении деятельности по обращению с животными без владельцев за счет бюджета округа (отлов собак)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+55,8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МБУ «Чагодощенский музей»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+138,8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(ремонт АПС +130,0 тыс.руб., изготовление баннера на центральную площадь +8,8 тыс.руб.);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МП «Кадры»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+600,0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(выплата единовременного пособия молодым специалистам по отрасли образование);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>меры социальной поддержки для обеспечения единовременных выплат для участников СВО, заключившим контракты с 01.01.2024 +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5 066,0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социальной поддержки семьям мобилизованных граждан в виде предоставления денежной компенсации на приобретение твердого топлива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+300,0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субсидий, предоставляемых совету ветеранов на проведение мероприятий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+15,0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«Народный тренер» доля бюджета округа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+330,0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тыс.руб.;</w:t>
      </w:r>
    </w:p>
    <w:p w:rsidR="009E05D3" w:rsidRPr="009E05D3" w:rsidRDefault="009E05D3" w:rsidP="009E0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МБУ «Дворец спорта» </w:t>
      </w:r>
      <w:r w:rsidRPr="009E05D3">
        <w:rPr>
          <w:rFonts w:ascii="Times New Roman" w:eastAsia="Times New Roman" w:hAnsi="Times New Roman"/>
          <w:b/>
          <w:sz w:val="28"/>
          <w:szCs w:val="28"/>
          <w:lang w:eastAsia="ru-RU"/>
        </w:rPr>
        <w:t>+316,0</w:t>
      </w:r>
      <w:r w:rsidRPr="009E05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 (увеличение размера ФОТ до МРОТ).</w:t>
      </w:r>
    </w:p>
    <w:p w:rsidR="00472678" w:rsidRPr="00472678" w:rsidRDefault="008E10BB" w:rsidP="003B382C">
      <w:pPr>
        <w:suppressAutoHyphens/>
        <w:autoSpaceDE w:val="0"/>
        <w:spacing w:after="0" w:line="200" w:lineRule="atLeast"/>
        <w:ind w:left="-11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3B3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="00472678" w:rsidRPr="00472678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Сведения об 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зменении расходов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юджета 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округа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разрезе ведомственной классификации расходов по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главным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распорядителям средств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9E05D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год представлены в таблице №</w:t>
      </w:r>
      <w:r w:rsidR="009E05D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4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472678" w:rsidRPr="005B020B" w:rsidRDefault="00782E10" w:rsidP="00472678">
      <w:pPr>
        <w:suppressAutoHyphens/>
        <w:spacing w:after="0" w:line="240" w:lineRule="auto"/>
        <w:ind w:left="522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Таблица №</w:t>
      </w:r>
      <w:r w:rsidR="00285770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ab/>
      </w:r>
      <w:r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                                           </w:t>
      </w:r>
      <w:r w:rsidR="00472678" w:rsidRPr="005B020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(тыс. рублей)</w:t>
      </w: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5"/>
        <w:gridCol w:w="3945"/>
        <w:gridCol w:w="1740"/>
        <w:gridCol w:w="1305"/>
        <w:gridCol w:w="1705"/>
      </w:tblGrid>
      <w:tr w:rsidR="00472678" w:rsidRPr="005B020B" w:rsidTr="00472678">
        <w:trPr>
          <w:trHeight w:val="1489"/>
          <w:tblHeader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ГРБС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главного распорядителя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Утверждено решением </w:t>
            </w:r>
            <w:r w:rsidR="002968B9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Представительного С</w:t>
            </w: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обрания округа от </w:t>
            </w:r>
            <w:r w:rsidR="005B020B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19</w:t>
            </w:r>
            <w:r w:rsidR="006C23D0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</w:t>
            </w:r>
            <w:r w:rsidR="005B020B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12</w:t>
            </w:r>
            <w:r w:rsidR="006C23D0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.202</w:t>
            </w:r>
            <w:r w:rsidR="008F1133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4</w:t>
            </w:r>
          </w:p>
          <w:p w:rsidR="00472678" w:rsidRPr="005B020B" w:rsidRDefault="00472678" w:rsidP="005B02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№ </w:t>
            </w:r>
            <w:r w:rsidR="005B020B"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Проект решения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Изменения к утвержден</w:t>
            </w:r>
          </w:p>
          <w:p w:rsidR="00472678" w:rsidRPr="005B020B" w:rsidRDefault="00472678" w:rsidP="00472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B02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ar-SA"/>
              </w:rPr>
              <w:t>ному решению</w:t>
            </w:r>
          </w:p>
        </w:tc>
      </w:tr>
      <w:tr w:rsidR="008E10BB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ВСЕГО РАСХОДОВ, из них: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1024461,3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1052985,2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E10BB" w:rsidRPr="005B020B" w:rsidRDefault="008E10BB" w:rsidP="005B020B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bCs/>
                <w:color w:val="000000"/>
              </w:rPr>
              <w:t>28523,</w:t>
            </w:r>
            <w:r w:rsidR="005B020B" w:rsidRPr="005B020B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8E10BB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265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Первомайское территориальное управление  Администрация Чагодощенского </w:t>
            </w: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муниципального округа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lastRenderedPageBreak/>
              <w:t>12845,9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12549,3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-296,6</w:t>
            </w:r>
          </w:p>
        </w:tc>
      </w:tr>
      <w:tr w:rsidR="008E10BB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266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Белокрестское территориальное управление  Администрация Чагодощенского муниципального 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29539,5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32850,5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3311</w:t>
            </w:r>
          </w:p>
        </w:tc>
      </w:tr>
      <w:tr w:rsidR="008E10BB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267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Сазоновское территориальное управление  Администрация Чагодощенского муниципального 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56638,1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58975,8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2337,7</w:t>
            </w:r>
          </w:p>
        </w:tc>
      </w:tr>
      <w:tr w:rsidR="008E10BB" w:rsidRPr="005B020B" w:rsidTr="005B020B"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268</w:t>
            </w:r>
          </w:p>
        </w:tc>
        <w:tc>
          <w:tcPr>
            <w:tcW w:w="3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Чагодское территориальное управление  Администрация Чагодощенского муниципального округа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31087,7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34147,1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3059,4</w:t>
            </w:r>
          </w:p>
        </w:tc>
      </w:tr>
      <w:tr w:rsidR="008E10BB" w:rsidRPr="005B020B" w:rsidTr="005B020B">
        <w:trPr>
          <w:trHeight w:val="893"/>
        </w:trPr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293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565343,9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583916,9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18573</w:t>
            </w:r>
          </w:p>
        </w:tc>
      </w:tr>
      <w:tr w:rsidR="008E10BB" w:rsidRPr="005B020B" w:rsidTr="005B020B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296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 w:rsidP="005B020B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</w:t>
            </w:r>
            <w:r w:rsidR="005B020B" w:rsidRPr="005B020B">
              <w:rPr>
                <w:rFonts w:ascii="Times New Roman" w:hAnsi="Times New Roman"/>
                <w:color w:val="000000"/>
              </w:rPr>
              <w:t>Управление образования а</w:t>
            </w:r>
            <w:r w:rsidR="005B020B"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дминистрации Чагодощенского муниципального округа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320424,6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321504,6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1080</w:t>
            </w:r>
          </w:p>
        </w:tc>
      </w:tr>
      <w:tr w:rsidR="008E10BB" w:rsidRPr="00472678" w:rsidTr="005B020B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5B020B">
              <w:rPr>
                <w:rFonts w:ascii="Times New Roman" w:hAnsi="Times New Roman"/>
                <w:bCs/>
                <w:iCs/>
                <w:color w:val="000000"/>
              </w:rPr>
              <w:t>299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rPr>
                <w:rFonts w:ascii="Times New Roman" w:hAnsi="Times New Roman"/>
                <w:color w:val="000000"/>
              </w:rPr>
            </w:pPr>
            <w:r w:rsidRPr="005B020B">
              <w:rPr>
                <w:rFonts w:ascii="Times New Roman" w:hAnsi="Times New Roman"/>
                <w:color w:val="000000"/>
              </w:rPr>
              <w:t> </w:t>
            </w:r>
            <w:r w:rsidR="005B020B" w:rsidRPr="005B020B">
              <w:rPr>
                <w:rFonts w:ascii="Times New Roman" w:hAnsi="Times New Roman"/>
                <w:color w:val="000000"/>
              </w:rPr>
              <w:t>Комитет по управлению имуществом а</w:t>
            </w:r>
            <w:r w:rsidR="005B020B" w:rsidRPr="005B020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дминистрации Чагодощенского муниципального округа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8581,6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8E10BB" w:rsidRPr="005B020B" w:rsidRDefault="008E10B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9041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E10BB" w:rsidRPr="005B020B" w:rsidRDefault="008E1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20B">
              <w:rPr>
                <w:rFonts w:ascii="Times New Roman" w:hAnsi="Times New Roman"/>
                <w:color w:val="000000"/>
              </w:rPr>
              <w:t>459,4</w:t>
            </w:r>
          </w:p>
        </w:tc>
      </w:tr>
    </w:tbl>
    <w:p w:rsidR="000F4560" w:rsidRDefault="000F4560" w:rsidP="003B382C">
      <w:pPr>
        <w:suppressAutoHyphens/>
        <w:spacing w:after="0" w:line="240" w:lineRule="auto"/>
        <w:ind w:left="39" w:firstLine="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72678" w:rsidRDefault="003B382C" w:rsidP="00172F87">
      <w:pPr>
        <w:suppressAutoHyphens/>
        <w:spacing w:after="0" w:line="240" w:lineRule="auto"/>
        <w:ind w:left="39" w:firstLine="669"/>
        <w:jc w:val="both"/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зменения, вносимые в проект решения ведомственной структуры расходов бюджета</w:t>
      </w:r>
      <w:r w:rsid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202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 характеризуются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целом увеличением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бюджетных ассигнований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 общую сумму 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28820,2</w:t>
      </w:r>
      <w:r w:rsidR="00DE643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068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тыс.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руб. по 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шести </w:t>
      </w:r>
      <w:r w:rsidR="00472678" w:rsidRPr="004726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главным распорядителям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бюджетных средств, уменьшением на общую сумму  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296,6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тыс.руб</w:t>
      </w:r>
      <w:r w:rsidR="00172F8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одному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главн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ому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распорядител</w:t>
      </w:r>
      <w:r w:rsidR="005B020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ю</w:t>
      </w:r>
      <w:r w:rsidR="00FB6B3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бюджетных средств.</w:t>
      </w:r>
    </w:p>
    <w:p w:rsidR="002C0FE5" w:rsidRPr="002C0FE5" w:rsidRDefault="00594A54" w:rsidP="003B382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соответствии с представленным п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роектом решения вносятся соответствующие изменения в приложение № </w:t>
      </w:r>
      <w:r w:rsidR="007448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«Распределение бюджетных ассигнований на реализацию муниципальных программ на 20</w:t>
      </w:r>
      <w:r w:rsidR="00FB6B3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5B020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годов». </w:t>
      </w:r>
    </w:p>
    <w:p w:rsidR="00FD0AB3" w:rsidRPr="00FD0AB3" w:rsidRDefault="00FD0AB3" w:rsidP="00FD0AB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Сведения об изменении финансирования муниципальных программ в 2023 году  представлены в таблице №</w:t>
      </w:r>
      <w:r w:rsidR="005E1F2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FD0AB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D0AB3" w:rsidRDefault="00DE6437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</w:t>
      </w:r>
      <w:r w:rsidR="00474AE2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</w:t>
      </w:r>
      <w:r w:rsidR="00744868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Таблица   №</w:t>
      </w:r>
      <w:r w:rsidR="005E1F2E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5</w:t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FD0AB3" w:rsidRPr="00FD0AB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FD0AB3" w:rsidRPr="00FD0A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(тыс. рублей)</w:t>
      </w:r>
    </w:p>
    <w:tbl>
      <w:tblPr>
        <w:tblW w:w="9360" w:type="dxa"/>
        <w:tblInd w:w="96" w:type="dxa"/>
        <w:tblLook w:val="04A0"/>
      </w:tblPr>
      <w:tblGrid>
        <w:gridCol w:w="3420"/>
        <w:gridCol w:w="2180"/>
        <w:gridCol w:w="2220"/>
        <w:gridCol w:w="1540"/>
      </w:tblGrid>
      <w:tr w:rsidR="00674673" w:rsidRPr="00674673" w:rsidTr="00674673">
        <w:trPr>
          <w:trHeight w:val="900"/>
        </w:trPr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Утверждено решением Представительного Собрания округа от 19.12.2024 №80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Изменения к утвержденному решению</w:t>
            </w:r>
          </w:p>
        </w:tc>
      </w:tr>
      <w:tr w:rsidR="00674673" w:rsidRPr="00674673" w:rsidTr="00674673">
        <w:trPr>
          <w:trHeight w:val="300"/>
        </w:trPr>
        <w:tc>
          <w:tcPr>
            <w:tcW w:w="3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4673" w:rsidRPr="00674673" w:rsidTr="00674673">
        <w:trPr>
          <w:trHeight w:val="3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 по программам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1030654,3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1058647,6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27993,3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"Совершенствование муниципального управления в Чагодощенском муниципальном округе на 2023 - 2026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111611,3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112129,7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518,4</w:t>
            </w:r>
          </w:p>
        </w:tc>
      </w:tr>
      <w:tr w:rsidR="00674673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кадрового потенциала в Чагодощенском о округе на 2023-2027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1530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2130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</w:tr>
      <w:tr w:rsidR="00674673" w:rsidRPr="00674673" w:rsidTr="00674673">
        <w:trPr>
          <w:trHeight w:val="7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"Содействие занятости населения   Чагодощенского муниципального  округа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</w:tr>
      <w:tr w:rsidR="00674673" w:rsidRPr="00674673" w:rsidTr="00674673">
        <w:trPr>
          <w:trHeight w:val="122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10062,5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10860,9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798,4</w:t>
            </w:r>
          </w:p>
        </w:tc>
      </w:tr>
      <w:tr w:rsidR="00674673" w:rsidRPr="00674673" w:rsidTr="00674673">
        <w:trPr>
          <w:trHeight w:val="122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профилактики правонарушений, безопасности населения на территории м Чагодощенского муниципального округа на 2023-2026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12114,9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12220,7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105,8</w:t>
            </w:r>
          </w:p>
        </w:tc>
      </w:tr>
      <w:tr w:rsidR="00674673" w:rsidRPr="00674673" w:rsidTr="00674673">
        <w:trPr>
          <w:trHeight w:val="122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сети автомобильных дорог местного значения и транспортного обслуживания населения на территории  Чагодощенского муниципального округа на 2024-2026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54223,4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57898,5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3675,1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хозяйства Чагодощенского муниципального округа на 2023-2026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367446,7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373496,8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6050,1</w:t>
            </w:r>
          </w:p>
        </w:tc>
      </w:tr>
      <w:tr w:rsidR="00674673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"Народный  бюджет" Чагодощенского муниципального округа 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1442,3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1442,3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на территории  Чагодощенского муниципального округа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45697,3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49248,6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3551,3</w:t>
            </w:r>
          </w:p>
        </w:tc>
      </w:tr>
      <w:tr w:rsidR="00674673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 "МФЦ" Чагодощенского муниципального округа на 2023-2025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74673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образования Чагодощенского муниципального округа на 2025-2030 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319991,6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321071,6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1080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 Чагодощенского муниципального округе на 2023-2027 годы"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16554,9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19546,3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2991,4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"Сохранение и развитие культурного потенциала  Чагодощенского муниципального округа на 2025-2030годы"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75663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77242,5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1579,5</w:t>
            </w:r>
          </w:p>
        </w:tc>
      </w:tr>
      <w:tr w:rsidR="00674673" w:rsidRPr="00674673" w:rsidTr="00674673">
        <w:trPr>
          <w:trHeight w:val="744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"Социальная поддержка граждан Чагодощенского муниципального округа на 2025-2030 годы"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7469,5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12835,5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5366</w:t>
            </w:r>
          </w:p>
        </w:tc>
      </w:tr>
      <w:tr w:rsidR="00674673" w:rsidRPr="00674673" w:rsidTr="00674673">
        <w:trPr>
          <w:trHeight w:val="9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Чагодощенского муниципального округа на 2023-2026 годы"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8089,2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8124,2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4673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</w:tr>
      <w:tr w:rsidR="00674673" w:rsidRPr="00674673" w:rsidTr="00674673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673" w:rsidRPr="00674673" w:rsidRDefault="00674673" w:rsidP="0067467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651DB" w:rsidRDefault="007651DB" w:rsidP="00474A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:rsidR="002C0FE5" w:rsidRPr="002C0FE5" w:rsidRDefault="00AE0FCB" w:rsidP="002C0FE5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  <w:t>Проект решения предусматривает изменения в 202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5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году по 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15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муниципальным программам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планируется увеличение бюджетных назначений в целом на 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27993,3</w:t>
      </w:r>
      <w:r w:rsidR="002A3AFA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тыс. рублей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</w:t>
      </w:r>
      <w:r w:rsidR="003A476E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или на 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2</w:t>
      </w:r>
      <w:r w:rsidR="00603531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,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%. Общий объем программных расходов в бюджете округа с учетом вносимых изменений в 202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году составит </w:t>
      </w:r>
      <w:r w:rsidR="00674673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1033838,1</w:t>
      </w:r>
      <w:r w:rsidR="002C0FE5" w:rsidRPr="002C0FE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 xml:space="preserve"> тыс. рублей. </w:t>
      </w:r>
    </w:p>
    <w:p w:rsidR="006F4C7B" w:rsidRDefault="002C0FE5" w:rsidP="003A476E">
      <w:pPr>
        <w:tabs>
          <w:tab w:val="left" w:pos="-540"/>
        </w:tabs>
        <w:suppressAutoHyphens/>
        <w:autoSpaceDE w:val="0"/>
        <w:spacing w:after="0" w:line="200" w:lineRule="atLeast"/>
        <w:ind w:left="-10"/>
        <w:jc w:val="both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  <w:r w:rsidRPr="002C0FE5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ab/>
      </w:r>
    </w:p>
    <w:p w:rsidR="004A6333" w:rsidRDefault="0086109F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   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В результате анализа вносимы</w:t>
      </w:r>
      <w:r w:rsidR="00D666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 изменений в бюджет округа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 и плановый период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годов, расхождений с требованиями бюджетного законодательства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онтрольно-счетной комиссией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Чагодощенского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округа не установлено. </w:t>
      </w:r>
    </w:p>
    <w:p w:rsidR="002C0FE5" w:rsidRPr="002C0FE5" w:rsidRDefault="004A6333" w:rsidP="004A6333">
      <w:pPr>
        <w:tabs>
          <w:tab w:val="left" w:pos="-540"/>
        </w:tabs>
        <w:suppressAutoHyphens/>
        <w:autoSpaceDE w:val="0"/>
        <w:spacing w:before="100" w:after="100" w:line="200" w:lineRule="atLeast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целом  экспертиза  проекта решения  о  бюджете  показала  соответствие ведомственной структуры бюджета распределению ассигнований по разделам, подразделам, целевым  статьям и видам расходов классификации расходов бюджета  и  имеющимся  приложениям. </w:t>
      </w:r>
    </w:p>
    <w:p w:rsidR="002C0FE5" w:rsidRPr="002C0FE5" w:rsidRDefault="004A6333" w:rsidP="004A633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Все показатели находятся в рамках, разрешенных бюджетным  законодательством Российской Федерации.</w:t>
      </w:r>
    </w:p>
    <w:p w:rsidR="002C0FE5" w:rsidRPr="002C0FE5" w:rsidRDefault="002C0FE5" w:rsidP="00792B71">
      <w:pPr>
        <w:suppressAutoHyphens/>
        <w:spacing w:after="0" w:line="240" w:lineRule="auto"/>
        <w:ind w:firstLine="432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Заключение на проект решения «О внесении изменений в решение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округа «О</w:t>
      </w:r>
      <w:r w:rsidR="004A6333" w:rsidRP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 w:rsidRPr="002C0FE5">
        <w:rPr>
          <w:rFonts w:ascii="Times New Roman" w:eastAsia="Times New Roman" w:hAnsi="Times New Roman"/>
          <w:sz w:val="28"/>
          <w:szCs w:val="28"/>
          <w:lang w:eastAsia="ar-SA"/>
        </w:rPr>
        <w:t>бюджете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год и плановый период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направлено в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Представительного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Собрание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округа, Главе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и Финансовое управление Администрации </w:t>
      </w:r>
      <w:r w:rsidR="004A6333">
        <w:rPr>
          <w:rFonts w:ascii="Times New Roman" w:eastAsia="Times New Roman" w:hAnsi="Times New Roman"/>
          <w:sz w:val="28"/>
          <w:szCs w:val="28"/>
          <w:lang w:eastAsia="ar-SA"/>
        </w:rPr>
        <w:t>Чагодощенского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:rsidR="006F083A" w:rsidRDefault="006F083A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C0FE5" w:rsidRPr="002C0FE5" w:rsidRDefault="002C0FE5" w:rsidP="000C064D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Выводы: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C064D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внесения изменений основные параметры бюджета округа составят 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в 202</w:t>
      </w:r>
      <w:r w:rsidR="006F083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5</w:t>
      </w:r>
      <w:r w:rsidRPr="000C064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году:</w:t>
      </w:r>
    </w:p>
    <w:p w:rsidR="002C0FE5" w:rsidRPr="000C064D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 —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1039057,6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1324</w:t>
      </w:r>
      <w:r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Pr="002C0FE5" w:rsidRDefault="002C0FE5" w:rsidP="000C064D">
      <w:pPr>
        <w:numPr>
          <w:ilvl w:val="1"/>
          <w:numId w:val="2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расходы —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1066256,6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(увеличение на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28523,6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рублей),</w:t>
      </w:r>
    </w:p>
    <w:p w:rsidR="002C0FE5" w:rsidRDefault="002C0FE5" w:rsidP="000C064D">
      <w:pPr>
        <w:numPr>
          <w:ilvl w:val="1"/>
          <w:numId w:val="5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дефицит —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C0FE5" w:rsidRPr="002C0FE5" w:rsidRDefault="001926AD" w:rsidP="001926AD">
      <w:pPr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по 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безвозмездным поступлениям 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4</w:t>
      </w:r>
      <w:r w:rsidR="002C0FE5" w:rsidRPr="000C064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год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— увеличен на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1324,6</w:t>
      </w:r>
      <w:r w:rsidR="002C0FE5" w:rsidRP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запланирован в размере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830722,6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, по налоговым и неналоговым доходам план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изменился.</w:t>
      </w:r>
    </w:p>
    <w:p w:rsidR="001926AD" w:rsidRDefault="006F083A" w:rsidP="001926AD">
      <w:pPr>
        <w:suppressAutoHyphens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реализацию муниципальных программ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2025 г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оду 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увелич</w:t>
      </w:r>
      <w:r w:rsidR="001926AD">
        <w:rPr>
          <w:rFonts w:ascii="Times New Roman" w:eastAsia="Times New Roman" w:hAnsi="Times New Roman"/>
          <w:sz w:val="28"/>
          <w:szCs w:val="28"/>
          <w:lang w:eastAsia="ar-SA"/>
        </w:rPr>
        <w:t>ить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27993,3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 составят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1058647,6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Изменения предусмотрены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муниципальным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C0FE5" w:rsidRPr="00FF1279" w:rsidRDefault="001926AD" w:rsidP="00411575">
      <w:pPr>
        <w:pStyle w:val="a8"/>
        <w:tabs>
          <w:tab w:val="left" w:pos="-540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ab/>
      </w:r>
      <w:r w:rsidR="00411575">
        <w:rPr>
          <w:rFonts w:ascii="Times New Roman" w:eastAsia="Times New Roman CYR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Дефицит бю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джет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27199,0</w:t>
      </w:r>
      <w:r w:rsidR="00963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2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2C0FE5" w:rsidRPr="002C0FE5" w:rsidRDefault="001926AD" w:rsidP="001926AD">
      <w:pPr>
        <w:suppressAutoHyphens/>
        <w:spacing w:after="0" w:line="240" w:lineRule="auto"/>
        <w:ind w:left="714" w:firstLine="70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Представленный проект решения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«О внесении изменений в решение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>Представительного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Собрания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от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Чагодощенского муниципального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>округа на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период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6F083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C064D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соответствует  требованиям  Бюджетного  кодекса  РФ  и  Положению о бюджетном процессе и предлагается к рассмотрению</w:t>
      </w:r>
      <w:r w:rsidR="004812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рекомендован к принятию </w:t>
      </w:r>
      <w:r w:rsidR="00501E1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учетом </w:t>
      </w:r>
      <w:r w:rsidR="004812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замечаний</w:t>
      </w:r>
      <w:r w:rsidR="00501E1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изложенных в настоящем заключени</w:t>
      </w:r>
      <w:r w:rsidR="002B2EC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</w:t>
      </w:r>
      <w:r w:rsidR="002C0FE5" w:rsidRPr="002C0F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0FE5" w:rsidRPr="002C0FE5" w:rsidRDefault="002C0FE5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Председатель</w:t>
      </w:r>
      <w:r w:rsidR="000C064D">
        <w:rPr>
          <w:rFonts w:ascii="Times New Roman" w:eastAsia="Times New Roman" w:hAnsi="Times New Roman"/>
          <w:sz w:val="28"/>
          <w:szCs w:val="28"/>
          <w:lang w:eastAsia="ar-SA"/>
        </w:rPr>
        <w:t xml:space="preserve"> к</w:t>
      </w:r>
      <w:r w:rsidRPr="002C0FE5">
        <w:rPr>
          <w:rFonts w:ascii="Times New Roman" w:eastAsia="Times New Roman" w:hAnsi="Times New Roman"/>
          <w:sz w:val="28"/>
          <w:szCs w:val="28"/>
          <w:lang w:eastAsia="ar-SA"/>
        </w:rPr>
        <w:t>онтрольно-счетной комиссии</w:t>
      </w:r>
    </w:p>
    <w:p w:rsidR="000C064D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годощенского </w:t>
      </w:r>
    </w:p>
    <w:p w:rsidR="002C0FE5" w:rsidRPr="002C0FE5" w:rsidRDefault="000C064D" w:rsidP="002C0F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C0FE5" w:rsidRPr="002C0FE5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Н.В.Васильева</w:t>
      </w:r>
    </w:p>
    <w:p w:rsidR="00D933F2" w:rsidRDefault="00D933F2"/>
    <w:sectPr w:rsidR="00D933F2" w:rsidSect="001926AD">
      <w:footerReference w:type="default" r:id="rId8"/>
      <w:pgSz w:w="11906" w:h="16838"/>
      <w:pgMar w:top="284" w:right="850" w:bottom="1276" w:left="1701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C0" w:rsidRDefault="00E00BC0">
      <w:pPr>
        <w:spacing w:after="0" w:line="240" w:lineRule="auto"/>
      </w:pPr>
      <w:r>
        <w:separator/>
      </w:r>
    </w:p>
  </w:endnote>
  <w:endnote w:type="continuationSeparator" w:id="1">
    <w:p w:rsidR="00E00BC0" w:rsidRDefault="00E0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0B" w:rsidRDefault="005B020B">
    <w:pPr>
      <w:pStyle w:val="a3"/>
      <w:jc w:val="center"/>
    </w:pPr>
    <w:fldSimple w:instr=" PAGE ">
      <w:r w:rsidR="002C5F26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C0" w:rsidRDefault="00E00BC0">
      <w:pPr>
        <w:spacing w:after="0" w:line="240" w:lineRule="auto"/>
      </w:pPr>
      <w:r>
        <w:separator/>
      </w:r>
    </w:p>
  </w:footnote>
  <w:footnote w:type="continuationSeparator" w:id="1">
    <w:p w:rsidR="00E00BC0" w:rsidRDefault="00E0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0036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trike w:val="0"/>
        <w:dstrike w:val="0"/>
        <w:color w:val="000000"/>
        <w:sz w:val="24"/>
        <w:szCs w:val="24"/>
        <w:shd w:val="clear" w:color="auto" w:fill="auto"/>
        <w:em w:val="no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6E01950"/>
    <w:multiLevelType w:val="multilevel"/>
    <w:tmpl w:val="AB5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strike w:val="0"/>
        <w:dstrike w:val="0"/>
        <w:color w:val="000000"/>
        <w:kern w:val="1"/>
        <w:sz w:val="28"/>
        <w:szCs w:val="28"/>
        <w:shd w:val="clear" w:color="auto" w:fill="auto"/>
        <w:em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color w:val="000000"/>
        <w:kern w:val="1"/>
        <w:sz w:val="28"/>
        <w:szCs w:val="28"/>
        <w:em w:val="none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E6D10"/>
    <w:multiLevelType w:val="hybridMultilevel"/>
    <w:tmpl w:val="9B6C0B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7F10CA0"/>
    <w:multiLevelType w:val="hybridMultilevel"/>
    <w:tmpl w:val="717C09DE"/>
    <w:lvl w:ilvl="0" w:tplc="0A6A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E5"/>
    <w:rsid w:val="00002BB6"/>
    <w:rsid w:val="00005EB2"/>
    <w:rsid w:val="0006506D"/>
    <w:rsid w:val="000656A3"/>
    <w:rsid w:val="000740DA"/>
    <w:rsid w:val="00080A67"/>
    <w:rsid w:val="0008307C"/>
    <w:rsid w:val="00083D87"/>
    <w:rsid w:val="00093170"/>
    <w:rsid w:val="000A0940"/>
    <w:rsid w:val="000A213F"/>
    <w:rsid w:val="000A7C10"/>
    <w:rsid w:val="000B2351"/>
    <w:rsid w:val="000C064D"/>
    <w:rsid w:val="000E5DEF"/>
    <w:rsid w:val="000F4560"/>
    <w:rsid w:val="000F79FD"/>
    <w:rsid w:val="0010240F"/>
    <w:rsid w:val="00105D69"/>
    <w:rsid w:val="00114210"/>
    <w:rsid w:val="00137B9D"/>
    <w:rsid w:val="00172F87"/>
    <w:rsid w:val="00177A9F"/>
    <w:rsid w:val="00190D49"/>
    <w:rsid w:val="001926AD"/>
    <w:rsid w:val="001A4EE7"/>
    <w:rsid w:val="001A6B10"/>
    <w:rsid w:val="001D1ECA"/>
    <w:rsid w:val="002048E6"/>
    <w:rsid w:val="00226450"/>
    <w:rsid w:val="002351CA"/>
    <w:rsid w:val="00250529"/>
    <w:rsid w:val="00253777"/>
    <w:rsid w:val="00270C1F"/>
    <w:rsid w:val="00285770"/>
    <w:rsid w:val="002908FD"/>
    <w:rsid w:val="002968B9"/>
    <w:rsid w:val="00296C45"/>
    <w:rsid w:val="002A3AFA"/>
    <w:rsid w:val="002B2ECF"/>
    <w:rsid w:val="002C0FE5"/>
    <w:rsid w:val="002C3B76"/>
    <w:rsid w:val="002C5F26"/>
    <w:rsid w:val="003238D2"/>
    <w:rsid w:val="003459DE"/>
    <w:rsid w:val="00355877"/>
    <w:rsid w:val="003638AF"/>
    <w:rsid w:val="00370CB7"/>
    <w:rsid w:val="00395205"/>
    <w:rsid w:val="00395E0F"/>
    <w:rsid w:val="003A476E"/>
    <w:rsid w:val="003A68C8"/>
    <w:rsid w:val="003B382C"/>
    <w:rsid w:val="003D00F7"/>
    <w:rsid w:val="003F3C99"/>
    <w:rsid w:val="004022C0"/>
    <w:rsid w:val="00405070"/>
    <w:rsid w:val="00411575"/>
    <w:rsid w:val="00427172"/>
    <w:rsid w:val="0043247F"/>
    <w:rsid w:val="00451591"/>
    <w:rsid w:val="00452832"/>
    <w:rsid w:val="00470A79"/>
    <w:rsid w:val="00472678"/>
    <w:rsid w:val="00474AE2"/>
    <w:rsid w:val="0048122A"/>
    <w:rsid w:val="004856F6"/>
    <w:rsid w:val="00492A45"/>
    <w:rsid w:val="004942A1"/>
    <w:rsid w:val="004A6333"/>
    <w:rsid w:val="004B062D"/>
    <w:rsid w:val="004C6185"/>
    <w:rsid w:val="004C6273"/>
    <w:rsid w:val="004D099B"/>
    <w:rsid w:val="004D1B30"/>
    <w:rsid w:val="004D4CB3"/>
    <w:rsid w:val="004E3821"/>
    <w:rsid w:val="004F09D4"/>
    <w:rsid w:val="004F543F"/>
    <w:rsid w:val="0050005F"/>
    <w:rsid w:val="00501E10"/>
    <w:rsid w:val="00501EDD"/>
    <w:rsid w:val="00515B2A"/>
    <w:rsid w:val="00516E23"/>
    <w:rsid w:val="00517B58"/>
    <w:rsid w:val="00520EB8"/>
    <w:rsid w:val="005322D1"/>
    <w:rsid w:val="0053673B"/>
    <w:rsid w:val="00553974"/>
    <w:rsid w:val="005620BB"/>
    <w:rsid w:val="005645E6"/>
    <w:rsid w:val="00575B26"/>
    <w:rsid w:val="005843E5"/>
    <w:rsid w:val="00594A54"/>
    <w:rsid w:val="005B020B"/>
    <w:rsid w:val="005D4A35"/>
    <w:rsid w:val="005D64FE"/>
    <w:rsid w:val="005E1F2E"/>
    <w:rsid w:val="005E5353"/>
    <w:rsid w:val="005E7E31"/>
    <w:rsid w:val="005F263E"/>
    <w:rsid w:val="005F6FBC"/>
    <w:rsid w:val="00603531"/>
    <w:rsid w:val="00604D68"/>
    <w:rsid w:val="0060687E"/>
    <w:rsid w:val="006205CA"/>
    <w:rsid w:val="0062582F"/>
    <w:rsid w:val="00633CFA"/>
    <w:rsid w:val="00647161"/>
    <w:rsid w:val="00660CAD"/>
    <w:rsid w:val="00674673"/>
    <w:rsid w:val="00685616"/>
    <w:rsid w:val="0068788D"/>
    <w:rsid w:val="00693B9E"/>
    <w:rsid w:val="006A0FB8"/>
    <w:rsid w:val="006C23D0"/>
    <w:rsid w:val="006D6965"/>
    <w:rsid w:val="006E1F89"/>
    <w:rsid w:val="006F083A"/>
    <w:rsid w:val="006F41D5"/>
    <w:rsid w:val="006F4C7B"/>
    <w:rsid w:val="006F4D11"/>
    <w:rsid w:val="00712F2E"/>
    <w:rsid w:val="00744868"/>
    <w:rsid w:val="00755856"/>
    <w:rsid w:val="007651DB"/>
    <w:rsid w:val="00772A4F"/>
    <w:rsid w:val="00781EB5"/>
    <w:rsid w:val="00782E10"/>
    <w:rsid w:val="00792B71"/>
    <w:rsid w:val="007A5920"/>
    <w:rsid w:val="007A707C"/>
    <w:rsid w:val="007B3AC8"/>
    <w:rsid w:val="007B6BE8"/>
    <w:rsid w:val="007C2558"/>
    <w:rsid w:val="007C3B02"/>
    <w:rsid w:val="007D47D6"/>
    <w:rsid w:val="007D5833"/>
    <w:rsid w:val="007E001D"/>
    <w:rsid w:val="008123CD"/>
    <w:rsid w:val="0081526B"/>
    <w:rsid w:val="00815605"/>
    <w:rsid w:val="00820FEC"/>
    <w:rsid w:val="00840BF3"/>
    <w:rsid w:val="00856218"/>
    <w:rsid w:val="0086109F"/>
    <w:rsid w:val="00865681"/>
    <w:rsid w:val="00866CE3"/>
    <w:rsid w:val="008673F7"/>
    <w:rsid w:val="00894411"/>
    <w:rsid w:val="008A0D30"/>
    <w:rsid w:val="008A1D53"/>
    <w:rsid w:val="008A22EB"/>
    <w:rsid w:val="008A6CA5"/>
    <w:rsid w:val="008A6D9D"/>
    <w:rsid w:val="008B29F6"/>
    <w:rsid w:val="008B4C70"/>
    <w:rsid w:val="008D0B66"/>
    <w:rsid w:val="008D6277"/>
    <w:rsid w:val="008E10BB"/>
    <w:rsid w:val="008F1133"/>
    <w:rsid w:val="00902967"/>
    <w:rsid w:val="00940378"/>
    <w:rsid w:val="009457F2"/>
    <w:rsid w:val="00955784"/>
    <w:rsid w:val="0095726E"/>
    <w:rsid w:val="00963E41"/>
    <w:rsid w:val="00966863"/>
    <w:rsid w:val="00973A89"/>
    <w:rsid w:val="00980D0E"/>
    <w:rsid w:val="009E05D3"/>
    <w:rsid w:val="009E1F6E"/>
    <w:rsid w:val="009F6AC5"/>
    <w:rsid w:val="00A039FD"/>
    <w:rsid w:val="00A237D2"/>
    <w:rsid w:val="00A30B5D"/>
    <w:rsid w:val="00A51836"/>
    <w:rsid w:val="00A543EB"/>
    <w:rsid w:val="00A63619"/>
    <w:rsid w:val="00A77888"/>
    <w:rsid w:val="00A82070"/>
    <w:rsid w:val="00A94268"/>
    <w:rsid w:val="00A960E6"/>
    <w:rsid w:val="00AA16E5"/>
    <w:rsid w:val="00AB041D"/>
    <w:rsid w:val="00AB2FAF"/>
    <w:rsid w:val="00AD465D"/>
    <w:rsid w:val="00AE002A"/>
    <w:rsid w:val="00AE0FCB"/>
    <w:rsid w:val="00AF3059"/>
    <w:rsid w:val="00B22342"/>
    <w:rsid w:val="00B453A6"/>
    <w:rsid w:val="00B5459D"/>
    <w:rsid w:val="00B60D05"/>
    <w:rsid w:val="00B948B4"/>
    <w:rsid w:val="00B95C6E"/>
    <w:rsid w:val="00BB3317"/>
    <w:rsid w:val="00BD28F6"/>
    <w:rsid w:val="00C0229E"/>
    <w:rsid w:val="00C048B8"/>
    <w:rsid w:val="00C06E06"/>
    <w:rsid w:val="00C248F3"/>
    <w:rsid w:val="00C332CB"/>
    <w:rsid w:val="00C4246A"/>
    <w:rsid w:val="00C508D7"/>
    <w:rsid w:val="00C7695E"/>
    <w:rsid w:val="00CA1607"/>
    <w:rsid w:val="00CA7719"/>
    <w:rsid w:val="00CB76D6"/>
    <w:rsid w:val="00CC3971"/>
    <w:rsid w:val="00CC4D5B"/>
    <w:rsid w:val="00CC4FF1"/>
    <w:rsid w:val="00CE68E2"/>
    <w:rsid w:val="00D26A12"/>
    <w:rsid w:val="00D27331"/>
    <w:rsid w:val="00D3288C"/>
    <w:rsid w:val="00D379CB"/>
    <w:rsid w:val="00D37E0B"/>
    <w:rsid w:val="00D6147B"/>
    <w:rsid w:val="00D635F6"/>
    <w:rsid w:val="00D63A9B"/>
    <w:rsid w:val="00D6661B"/>
    <w:rsid w:val="00D70418"/>
    <w:rsid w:val="00D71EFF"/>
    <w:rsid w:val="00D82979"/>
    <w:rsid w:val="00D878AB"/>
    <w:rsid w:val="00D90CED"/>
    <w:rsid w:val="00D933F2"/>
    <w:rsid w:val="00DA1A17"/>
    <w:rsid w:val="00DD7873"/>
    <w:rsid w:val="00DD7AB5"/>
    <w:rsid w:val="00DE6437"/>
    <w:rsid w:val="00DF3688"/>
    <w:rsid w:val="00E00BC0"/>
    <w:rsid w:val="00E05CD9"/>
    <w:rsid w:val="00E0758D"/>
    <w:rsid w:val="00E172BE"/>
    <w:rsid w:val="00E341C9"/>
    <w:rsid w:val="00E35E1C"/>
    <w:rsid w:val="00E4386B"/>
    <w:rsid w:val="00E47165"/>
    <w:rsid w:val="00E57EAD"/>
    <w:rsid w:val="00E73563"/>
    <w:rsid w:val="00EB067E"/>
    <w:rsid w:val="00EB520F"/>
    <w:rsid w:val="00EB64B5"/>
    <w:rsid w:val="00EC05E6"/>
    <w:rsid w:val="00ED132D"/>
    <w:rsid w:val="00EE51DA"/>
    <w:rsid w:val="00EF4F69"/>
    <w:rsid w:val="00F010BB"/>
    <w:rsid w:val="00F01783"/>
    <w:rsid w:val="00F030DC"/>
    <w:rsid w:val="00F217B3"/>
    <w:rsid w:val="00F21E8E"/>
    <w:rsid w:val="00F26513"/>
    <w:rsid w:val="00F408AE"/>
    <w:rsid w:val="00F42DC8"/>
    <w:rsid w:val="00F52D27"/>
    <w:rsid w:val="00F66EC6"/>
    <w:rsid w:val="00F923FA"/>
    <w:rsid w:val="00F9536E"/>
    <w:rsid w:val="00FA18AA"/>
    <w:rsid w:val="00FB6B34"/>
    <w:rsid w:val="00FC542B"/>
    <w:rsid w:val="00FD0AB3"/>
    <w:rsid w:val="00FD599B"/>
    <w:rsid w:val="00FE126C"/>
    <w:rsid w:val="00FE642A"/>
    <w:rsid w:val="00FF1279"/>
    <w:rsid w:val="00FF22F7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  <w:style w:type="paragraph" w:styleId="a8">
    <w:name w:val="List Paragraph"/>
    <w:basedOn w:val="a"/>
    <w:uiPriority w:val="34"/>
    <w:qFormat/>
    <w:rsid w:val="007A5920"/>
    <w:pPr>
      <w:ind w:left="720"/>
      <w:contextualSpacing/>
    </w:pPr>
  </w:style>
  <w:style w:type="paragraph" w:customStyle="1" w:styleId="ConsPlusNormal">
    <w:name w:val="ConsPlusNormal"/>
    <w:next w:val="a"/>
    <w:qFormat/>
    <w:rsid w:val="00BD28F6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F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Нижний колонтитул Знак"/>
    <w:link w:val="a3"/>
    <w:rsid w:val="002C0F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3B02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5D4A3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Strong"/>
    <w:qFormat/>
    <w:rsid w:val="003B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ADC-4622-45DE-977D-8949754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32</cp:revision>
  <cp:lastPrinted>2025-04-01T06:14:00Z</cp:lastPrinted>
  <dcterms:created xsi:type="dcterms:W3CDTF">2024-07-04T06:13:00Z</dcterms:created>
  <dcterms:modified xsi:type="dcterms:W3CDTF">2025-04-01T08:49:00Z</dcterms:modified>
</cp:coreProperties>
</file>